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88421" w14:textId="77777777" w:rsidR="0052496C" w:rsidRDefault="0052496C" w:rsidP="003C46D6">
      <w:pPr>
        <w:pStyle w:val="MainTitleblue"/>
      </w:pPr>
      <w:r>
        <w:t>Public Safety Assessment</w:t>
      </w:r>
    </w:p>
    <w:p w14:paraId="136BFEDF" w14:textId="50A1D5B3" w:rsidR="00681DD0" w:rsidRDefault="0052496C" w:rsidP="00681DD0">
      <w:pPr>
        <w:pStyle w:val="MainTitleblue"/>
      </w:pPr>
      <w:r>
        <w:t>Scoring Manual</w:t>
      </w:r>
    </w:p>
    <w:p w14:paraId="6B902265" w14:textId="0D06F829" w:rsidR="00681DD0" w:rsidRPr="003C46D6" w:rsidRDefault="00681DD0" w:rsidP="00681DD0">
      <w:pPr>
        <w:pStyle w:val="MainTitleblue"/>
        <w:spacing w:after="1200"/>
      </w:pPr>
      <w:r>
        <w:t>March 2022</w:t>
      </w:r>
    </w:p>
    <w:p w14:paraId="4F8198F3" w14:textId="5BCBB218" w:rsidR="00AD673A" w:rsidRDefault="00AE0C35">
      <w:pPr>
        <w:pStyle w:val="TOC1"/>
        <w:tabs>
          <w:tab w:val="right" w:leader="dot" w:pos="9350"/>
        </w:tabs>
        <w:rPr>
          <w:rFonts w:asciiTheme="minorHAnsi" w:eastAsiaTheme="minorEastAsia" w:hAnsiTheme="minorHAnsi" w:cstheme="minorBidi"/>
          <w:b w:val="0"/>
          <w:bCs w:val="0"/>
          <w:noProof/>
          <w:lang w:val="en-CA"/>
        </w:rPr>
      </w:pPr>
      <w:r>
        <w:rPr>
          <w:b w:val="0"/>
          <w:bCs w:val="0"/>
          <w:caps/>
        </w:rPr>
        <w:fldChar w:fldCharType="begin"/>
      </w:r>
      <w:r>
        <w:rPr>
          <w:b w:val="0"/>
          <w:bCs w:val="0"/>
          <w:caps/>
        </w:rPr>
        <w:instrText xml:space="preserve"> TOC \o "1-1" \h \z \u </w:instrText>
      </w:r>
      <w:r>
        <w:rPr>
          <w:b w:val="0"/>
          <w:bCs w:val="0"/>
          <w:caps/>
        </w:rPr>
        <w:fldChar w:fldCharType="separate"/>
      </w:r>
      <w:hyperlink w:anchor="_Toc100071351" w:history="1">
        <w:r w:rsidR="00AD673A" w:rsidRPr="00575F64">
          <w:rPr>
            <w:rStyle w:val="Hyperlink"/>
            <w:noProof/>
          </w:rPr>
          <w:t>Introduction</w:t>
        </w:r>
        <w:r w:rsidR="00AD673A">
          <w:rPr>
            <w:noProof/>
            <w:webHidden/>
          </w:rPr>
          <w:tab/>
        </w:r>
        <w:r w:rsidR="00AD673A">
          <w:rPr>
            <w:noProof/>
            <w:webHidden/>
          </w:rPr>
          <w:fldChar w:fldCharType="begin"/>
        </w:r>
        <w:r w:rsidR="00AD673A">
          <w:rPr>
            <w:noProof/>
            <w:webHidden/>
          </w:rPr>
          <w:instrText xml:space="preserve"> PAGEREF _Toc100071351 \h </w:instrText>
        </w:r>
        <w:r w:rsidR="00AD673A">
          <w:rPr>
            <w:noProof/>
            <w:webHidden/>
          </w:rPr>
        </w:r>
        <w:r w:rsidR="00AD673A">
          <w:rPr>
            <w:noProof/>
            <w:webHidden/>
          </w:rPr>
          <w:fldChar w:fldCharType="separate"/>
        </w:r>
        <w:r w:rsidR="00AD673A">
          <w:rPr>
            <w:noProof/>
            <w:webHidden/>
          </w:rPr>
          <w:t>2</w:t>
        </w:r>
        <w:r w:rsidR="00AD673A">
          <w:rPr>
            <w:noProof/>
            <w:webHidden/>
          </w:rPr>
          <w:fldChar w:fldCharType="end"/>
        </w:r>
      </w:hyperlink>
    </w:p>
    <w:p w14:paraId="39D57AC5" w14:textId="2A22A3B9" w:rsidR="00AD673A" w:rsidRDefault="00E05B9F">
      <w:pPr>
        <w:pStyle w:val="TOC1"/>
        <w:tabs>
          <w:tab w:val="right" w:leader="dot" w:pos="9350"/>
        </w:tabs>
        <w:rPr>
          <w:rFonts w:asciiTheme="minorHAnsi" w:eastAsiaTheme="minorEastAsia" w:hAnsiTheme="minorHAnsi" w:cstheme="minorBidi"/>
          <w:b w:val="0"/>
          <w:bCs w:val="0"/>
          <w:noProof/>
          <w:lang w:val="en-CA"/>
        </w:rPr>
      </w:pPr>
      <w:hyperlink w:anchor="_Toc100071352" w:history="1">
        <w:r w:rsidR="00AD673A" w:rsidRPr="00575F64">
          <w:rPr>
            <w:rStyle w:val="Hyperlink"/>
            <w:noProof/>
          </w:rPr>
          <w:t>Suitability for Assessment</w:t>
        </w:r>
        <w:r w:rsidR="00AD673A">
          <w:rPr>
            <w:noProof/>
            <w:webHidden/>
          </w:rPr>
          <w:tab/>
        </w:r>
        <w:r w:rsidR="00AD673A">
          <w:rPr>
            <w:noProof/>
            <w:webHidden/>
          </w:rPr>
          <w:fldChar w:fldCharType="begin"/>
        </w:r>
        <w:r w:rsidR="00AD673A">
          <w:rPr>
            <w:noProof/>
            <w:webHidden/>
          </w:rPr>
          <w:instrText xml:space="preserve"> PAGEREF _Toc100071352 \h </w:instrText>
        </w:r>
        <w:r w:rsidR="00AD673A">
          <w:rPr>
            <w:noProof/>
            <w:webHidden/>
          </w:rPr>
        </w:r>
        <w:r w:rsidR="00AD673A">
          <w:rPr>
            <w:noProof/>
            <w:webHidden/>
          </w:rPr>
          <w:fldChar w:fldCharType="separate"/>
        </w:r>
        <w:r w:rsidR="00AD673A">
          <w:rPr>
            <w:noProof/>
            <w:webHidden/>
          </w:rPr>
          <w:t>3</w:t>
        </w:r>
        <w:r w:rsidR="00AD673A">
          <w:rPr>
            <w:noProof/>
            <w:webHidden/>
          </w:rPr>
          <w:fldChar w:fldCharType="end"/>
        </w:r>
      </w:hyperlink>
    </w:p>
    <w:p w14:paraId="4DD39EE6" w14:textId="4DFB0490" w:rsidR="00AD673A" w:rsidRDefault="00E05B9F">
      <w:pPr>
        <w:pStyle w:val="TOC1"/>
        <w:tabs>
          <w:tab w:val="right" w:leader="dot" w:pos="9350"/>
        </w:tabs>
        <w:rPr>
          <w:rFonts w:asciiTheme="minorHAnsi" w:eastAsiaTheme="minorEastAsia" w:hAnsiTheme="minorHAnsi" w:cstheme="minorBidi"/>
          <w:b w:val="0"/>
          <w:bCs w:val="0"/>
          <w:noProof/>
          <w:lang w:val="en-CA"/>
        </w:rPr>
      </w:pPr>
      <w:hyperlink w:anchor="_Toc100071353" w:history="1">
        <w:r w:rsidR="00AD673A" w:rsidRPr="00575F64">
          <w:rPr>
            <w:rStyle w:val="Hyperlink"/>
            <w:noProof/>
          </w:rPr>
          <w:t>Relevant Data</w:t>
        </w:r>
        <w:r w:rsidR="00AD673A">
          <w:rPr>
            <w:noProof/>
            <w:webHidden/>
          </w:rPr>
          <w:tab/>
        </w:r>
        <w:r w:rsidR="00AD673A">
          <w:rPr>
            <w:noProof/>
            <w:webHidden/>
          </w:rPr>
          <w:fldChar w:fldCharType="begin"/>
        </w:r>
        <w:r w:rsidR="00AD673A">
          <w:rPr>
            <w:noProof/>
            <w:webHidden/>
          </w:rPr>
          <w:instrText xml:space="preserve"> PAGEREF _Toc100071353 \h </w:instrText>
        </w:r>
        <w:r w:rsidR="00AD673A">
          <w:rPr>
            <w:noProof/>
            <w:webHidden/>
          </w:rPr>
        </w:r>
        <w:r w:rsidR="00AD673A">
          <w:rPr>
            <w:noProof/>
            <w:webHidden/>
          </w:rPr>
          <w:fldChar w:fldCharType="separate"/>
        </w:r>
        <w:r w:rsidR="00AD673A">
          <w:rPr>
            <w:noProof/>
            <w:webHidden/>
          </w:rPr>
          <w:t>4</w:t>
        </w:r>
        <w:r w:rsidR="00AD673A">
          <w:rPr>
            <w:noProof/>
            <w:webHidden/>
          </w:rPr>
          <w:fldChar w:fldCharType="end"/>
        </w:r>
      </w:hyperlink>
    </w:p>
    <w:p w14:paraId="4A83B465" w14:textId="4C354122" w:rsidR="00AD673A" w:rsidRDefault="00E05B9F">
      <w:pPr>
        <w:pStyle w:val="TOC1"/>
        <w:tabs>
          <w:tab w:val="right" w:leader="dot" w:pos="9350"/>
        </w:tabs>
        <w:rPr>
          <w:rFonts w:asciiTheme="minorHAnsi" w:eastAsiaTheme="minorEastAsia" w:hAnsiTheme="minorHAnsi" w:cstheme="minorBidi"/>
          <w:b w:val="0"/>
          <w:bCs w:val="0"/>
          <w:noProof/>
          <w:lang w:val="en-CA"/>
        </w:rPr>
      </w:pPr>
      <w:hyperlink w:anchor="_Toc100071354" w:history="1">
        <w:r w:rsidR="00AD673A" w:rsidRPr="00575F64">
          <w:rPr>
            <w:rStyle w:val="Hyperlink"/>
            <w:noProof/>
          </w:rPr>
          <w:t>Factor 1: Age at Current Arrest</w:t>
        </w:r>
        <w:r w:rsidR="00AD673A">
          <w:rPr>
            <w:noProof/>
            <w:webHidden/>
          </w:rPr>
          <w:tab/>
        </w:r>
        <w:r w:rsidR="00AD673A">
          <w:rPr>
            <w:noProof/>
            <w:webHidden/>
          </w:rPr>
          <w:fldChar w:fldCharType="begin"/>
        </w:r>
        <w:r w:rsidR="00AD673A">
          <w:rPr>
            <w:noProof/>
            <w:webHidden/>
          </w:rPr>
          <w:instrText xml:space="preserve"> PAGEREF _Toc100071354 \h </w:instrText>
        </w:r>
        <w:r w:rsidR="00AD673A">
          <w:rPr>
            <w:noProof/>
            <w:webHidden/>
          </w:rPr>
        </w:r>
        <w:r w:rsidR="00AD673A">
          <w:rPr>
            <w:noProof/>
            <w:webHidden/>
          </w:rPr>
          <w:fldChar w:fldCharType="separate"/>
        </w:r>
        <w:r w:rsidR="00AD673A">
          <w:rPr>
            <w:noProof/>
            <w:webHidden/>
          </w:rPr>
          <w:t>5</w:t>
        </w:r>
        <w:r w:rsidR="00AD673A">
          <w:rPr>
            <w:noProof/>
            <w:webHidden/>
          </w:rPr>
          <w:fldChar w:fldCharType="end"/>
        </w:r>
      </w:hyperlink>
    </w:p>
    <w:p w14:paraId="39AC7489" w14:textId="3D4846EE" w:rsidR="00AD673A" w:rsidRDefault="00E05B9F">
      <w:pPr>
        <w:pStyle w:val="TOC1"/>
        <w:tabs>
          <w:tab w:val="right" w:leader="dot" w:pos="9350"/>
        </w:tabs>
        <w:rPr>
          <w:rFonts w:asciiTheme="minorHAnsi" w:eastAsiaTheme="minorEastAsia" w:hAnsiTheme="minorHAnsi" w:cstheme="minorBidi"/>
          <w:b w:val="0"/>
          <w:bCs w:val="0"/>
          <w:noProof/>
          <w:lang w:val="en-CA"/>
        </w:rPr>
      </w:pPr>
      <w:hyperlink w:anchor="_Toc100071355" w:history="1">
        <w:r w:rsidR="00AD673A" w:rsidRPr="00575F64">
          <w:rPr>
            <w:rStyle w:val="Hyperlink"/>
            <w:noProof/>
          </w:rPr>
          <w:t>Factor 2: Current Violent Offense</w:t>
        </w:r>
        <w:r w:rsidR="00AD673A">
          <w:rPr>
            <w:noProof/>
            <w:webHidden/>
          </w:rPr>
          <w:tab/>
        </w:r>
        <w:r w:rsidR="00AD673A">
          <w:rPr>
            <w:noProof/>
            <w:webHidden/>
          </w:rPr>
          <w:fldChar w:fldCharType="begin"/>
        </w:r>
        <w:r w:rsidR="00AD673A">
          <w:rPr>
            <w:noProof/>
            <w:webHidden/>
          </w:rPr>
          <w:instrText xml:space="preserve"> PAGEREF _Toc100071355 \h </w:instrText>
        </w:r>
        <w:r w:rsidR="00AD673A">
          <w:rPr>
            <w:noProof/>
            <w:webHidden/>
          </w:rPr>
        </w:r>
        <w:r w:rsidR="00AD673A">
          <w:rPr>
            <w:noProof/>
            <w:webHidden/>
          </w:rPr>
          <w:fldChar w:fldCharType="separate"/>
        </w:r>
        <w:r w:rsidR="00AD673A">
          <w:rPr>
            <w:noProof/>
            <w:webHidden/>
          </w:rPr>
          <w:t>6</w:t>
        </w:r>
        <w:r w:rsidR="00AD673A">
          <w:rPr>
            <w:noProof/>
            <w:webHidden/>
          </w:rPr>
          <w:fldChar w:fldCharType="end"/>
        </w:r>
      </w:hyperlink>
    </w:p>
    <w:p w14:paraId="27FF908D" w14:textId="1C19AC64" w:rsidR="00AD673A" w:rsidRDefault="00E05B9F">
      <w:pPr>
        <w:pStyle w:val="TOC1"/>
        <w:tabs>
          <w:tab w:val="right" w:leader="dot" w:pos="9350"/>
        </w:tabs>
        <w:rPr>
          <w:rFonts w:asciiTheme="minorHAnsi" w:eastAsiaTheme="minorEastAsia" w:hAnsiTheme="minorHAnsi" w:cstheme="minorBidi"/>
          <w:b w:val="0"/>
          <w:bCs w:val="0"/>
          <w:noProof/>
          <w:lang w:val="en-CA"/>
        </w:rPr>
      </w:pPr>
      <w:hyperlink w:anchor="_Toc100071356" w:history="1">
        <w:r w:rsidR="00AD673A" w:rsidRPr="00575F64">
          <w:rPr>
            <w:rStyle w:val="Hyperlink"/>
            <w:noProof/>
          </w:rPr>
          <w:t>Factor 2a: Current Violent Offense and 20 Years Old or Younger</w:t>
        </w:r>
        <w:r w:rsidR="00AD673A">
          <w:rPr>
            <w:noProof/>
            <w:webHidden/>
          </w:rPr>
          <w:tab/>
        </w:r>
        <w:r w:rsidR="00AD673A">
          <w:rPr>
            <w:noProof/>
            <w:webHidden/>
          </w:rPr>
          <w:fldChar w:fldCharType="begin"/>
        </w:r>
        <w:r w:rsidR="00AD673A">
          <w:rPr>
            <w:noProof/>
            <w:webHidden/>
          </w:rPr>
          <w:instrText xml:space="preserve"> PAGEREF _Toc100071356 \h </w:instrText>
        </w:r>
        <w:r w:rsidR="00AD673A">
          <w:rPr>
            <w:noProof/>
            <w:webHidden/>
          </w:rPr>
        </w:r>
        <w:r w:rsidR="00AD673A">
          <w:rPr>
            <w:noProof/>
            <w:webHidden/>
          </w:rPr>
          <w:fldChar w:fldCharType="separate"/>
        </w:r>
        <w:r w:rsidR="00AD673A">
          <w:rPr>
            <w:noProof/>
            <w:webHidden/>
          </w:rPr>
          <w:t>7</w:t>
        </w:r>
        <w:r w:rsidR="00AD673A">
          <w:rPr>
            <w:noProof/>
            <w:webHidden/>
          </w:rPr>
          <w:fldChar w:fldCharType="end"/>
        </w:r>
      </w:hyperlink>
    </w:p>
    <w:p w14:paraId="12593077" w14:textId="3B10C886" w:rsidR="00AD673A" w:rsidRDefault="00E05B9F">
      <w:pPr>
        <w:pStyle w:val="TOC1"/>
        <w:tabs>
          <w:tab w:val="right" w:leader="dot" w:pos="9350"/>
        </w:tabs>
        <w:rPr>
          <w:rFonts w:asciiTheme="minorHAnsi" w:eastAsiaTheme="minorEastAsia" w:hAnsiTheme="minorHAnsi" w:cstheme="minorBidi"/>
          <w:b w:val="0"/>
          <w:bCs w:val="0"/>
          <w:noProof/>
          <w:lang w:val="en-CA"/>
        </w:rPr>
      </w:pPr>
      <w:hyperlink w:anchor="_Toc100071357" w:history="1">
        <w:r w:rsidR="00AD673A" w:rsidRPr="00575F64">
          <w:rPr>
            <w:rStyle w:val="Hyperlink"/>
            <w:noProof/>
          </w:rPr>
          <w:t>Factor 3: Pending Charge at the Time of the Arrest</w:t>
        </w:r>
        <w:r w:rsidR="00AD673A">
          <w:rPr>
            <w:noProof/>
            <w:webHidden/>
          </w:rPr>
          <w:tab/>
        </w:r>
        <w:r w:rsidR="00AD673A">
          <w:rPr>
            <w:noProof/>
            <w:webHidden/>
          </w:rPr>
          <w:fldChar w:fldCharType="begin"/>
        </w:r>
        <w:r w:rsidR="00AD673A">
          <w:rPr>
            <w:noProof/>
            <w:webHidden/>
          </w:rPr>
          <w:instrText xml:space="preserve"> PAGEREF _Toc100071357 \h </w:instrText>
        </w:r>
        <w:r w:rsidR="00AD673A">
          <w:rPr>
            <w:noProof/>
            <w:webHidden/>
          </w:rPr>
        </w:r>
        <w:r w:rsidR="00AD673A">
          <w:rPr>
            <w:noProof/>
            <w:webHidden/>
          </w:rPr>
          <w:fldChar w:fldCharType="separate"/>
        </w:r>
        <w:r w:rsidR="00AD673A">
          <w:rPr>
            <w:noProof/>
            <w:webHidden/>
          </w:rPr>
          <w:t>8</w:t>
        </w:r>
        <w:r w:rsidR="00AD673A">
          <w:rPr>
            <w:noProof/>
            <w:webHidden/>
          </w:rPr>
          <w:fldChar w:fldCharType="end"/>
        </w:r>
      </w:hyperlink>
    </w:p>
    <w:p w14:paraId="02A50466" w14:textId="23B7F41B" w:rsidR="00AD673A" w:rsidRDefault="00E05B9F">
      <w:pPr>
        <w:pStyle w:val="TOC1"/>
        <w:tabs>
          <w:tab w:val="right" w:leader="dot" w:pos="9350"/>
        </w:tabs>
        <w:rPr>
          <w:rFonts w:asciiTheme="minorHAnsi" w:eastAsiaTheme="minorEastAsia" w:hAnsiTheme="minorHAnsi" w:cstheme="minorBidi"/>
          <w:b w:val="0"/>
          <w:bCs w:val="0"/>
          <w:noProof/>
          <w:lang w:val="en-CA"/>
        </w:rPr>
      </w:pPr>
      <w:hyperlink w:anchor="_Toc100071358" w:history="1">
        <w:r w:rsidR="00AD673A" w:rsidRPr="00575F64">
          <w:rPr>
            <w:rStyle w:val="Hyperlink"/>
            <w:noProof/>
          </w:rPr>
          <w:t>Factors 4 and 5: Prior Misdemeanor and Felony Convictions</w:t>
        </w:r>
        <w:r w:rsidR="00AD673A">
          <w:rPr>
            <w:noProof/>
            <w:webHidden/>
          </w:rPr>
          <w:tab/>
        </w:r>
        <w:r w:rsidR="00AD673A">
          <w:rPr>
            <w:noProof/>
            <w:webHidden/>
          </w:rPr>
          <w:fldChar w:fldCharType="begin"/>
        </w:r>
        <w:r w:rsidR="00AD673A">
          <w:rPr>
            <w:noProof/>
            <w:webHidden/>
          </w:rPr>
          <w:instrText xml:space="preserve"> PAGEREF _Toc100071358 \h </w:instrText>
        </w:r>
        <w:r w:rsidR="00AD673A">
          <w:rPr>
            <w:noProof/>
            <w:webHidden/>
          </w:rPr>
        </w:r>
        <w:r w:rsidR="00AD673A">
          <w:rPr>
            <w:noProof/>
            <w:webHidden/>
          </w:rPr>
          <w:fldChar w:fldCharType="separate"/>
        </w:r>
        <w:r w:rsidR="00AD673A">
          <w:rPr>
            <w:noProof/>
            <w:webHidden/>
          </w:rPr>
          <w:t>11</w:t>
        </w:r>
        <w:r w:rsidR="00AD673A">
          <w:rPr>
            <w:noProof/>
            <w:webHidden/>
          </w:rPr>
          <w:fldChar w:fldCharType="end"/>
        </w:r>
      </w:hyperlink>
    </w:p>
    <w:p w14:paraId="0FA67541" w14:textId="14A0D277" w:rsidR="00AD673A" w:rsidRDefault="00E05B9F">
      <w:pPr>
        <w:pStyle w:val="TOC1"/>
        <w:tabs>
          <w:tab w:val="right" w:leader="dot" w:pos="9350"/>
        </w:tabs>
        <w:rPr>
          <w:rFonts w:asciiTheme="minorHAnsi" w:eastAsiaTheme="minorEastAsia" w:hAnsiTheme="minorHAnsi" w:cstheme="minorBidi"/>
          <w:b w:val="0"/>
          <w:bCs w:val="0"/>
          <w:noProof/>
          <w:lang w:val="en-CA"/>
        </w:rPr>
      </w:pPr>
      <w:hyperlink w:anchor="_Toc100071359" w:history="1">
        <w:r w:rsidR="00AD673A" w:rsidRPr="00575F64">
          <w:rPr>
            <w:rStyle w:val="Hyperlink"/>
            <w:noProof/>
          </w:rPr>
          <w:t>Factor 5a: Prior Conviction</w:t>
        </w:r>
        <w:r w:rsidR="00AD673A">
          <w:rPr>
            <w:noProof/>
            <w:webHidden/>
          </w:rPr>
          <w:tab/>
        </w:r>
        <w:r w:rsidR="00AD673A">
          <w:rPr>
            <w:noProof/>
            <w:webHidden/>
          </w:rPr>
          <w:fldChar w:fldCharType="begin"/>
        </w:r>
        <w:r w:rsidR="00AD673A">
          <w:rPr>
            <w:noProof/>
            <w:webHidden/>
          </w:rPr>
          <w:instrText xml:space="preserve"> PAGEREF _Toc100071359 \h </w:instrText>
        </w:r>
        <w:r w:rsidR="00AD673A">
          <w:rPr>
            <w:noProof/>
            <w:webHidden/>
          </w:rPr>
        </w:r>
        <w:r w:rsidR="00AD673A">
          <w:rPr>
            <w:noProof/>
            <w:webHidden/>
          </w:rPr>
          <w:fldChar w:fldCharType="separate"/>
        </w:r>
        <w:r w:rsidR="00AD673A">
          <w:rPr>
            <w:noProof/>
            <w:webHidden/>
          </w:rPr>
          <w:t>13</w:t>
        </w:r>
        <w:r w:rsidR="00AD673A">
          <w:rPr>
            <w:noProof/>
            <w:webHidden/>
          </w:rPr>
          <w:fldChar w:fldCharType="end"/>
        </w:r>
      </w:hyperlink>
    </w:p>
    <w:p w14:paraId="7FECFAEE" w14:textId="7558919A" w:rsidR="00AD673A" w:rsidRDefault="00E05B9F">
      <w:pPr>
        <w:pStyle w:val="TOC1"/>
        <w:tabs>
          <w:tab w:val="right" w:leader="dot" w:pos="9350"/>
        </w:tabs>
        <w:rPr>
          <w:rFonts w:asciiTheme="minorHAnsi" w:eastAsiaTheme="minorEastAsia" w:hAnsiTheme="minorHAnsi" w:cstheme="minorBidi"/>
          <w:b w:val="0"/>
          <w:bCs w:val="0"/>
          <w:noProof/>
          <w:lang w:val="en-CA"/>
        </w:rPr>
      </w:pPr>
      <w:hyperlink w:anchor="_Toc100071360" w:history="1">
        <w:r w:rsidR="00AD673A" w:rsidRPr="00575F64">
          <w:rPr>
            <w:rStyle w:val="Hyperlink"/>
            <w:noProof/>
          </w:rPr>
          <w:t>Factor 6: Prior Violent Convictions</w:t>
        </w:r>
        <w:r w:rsidR="00AD673A">
          <w:rPr>
            <w:noProof/>
            <w:webHidden/>
          </w:rPr>
          <w:tab/>
        </w:r>
        <w:r w:rsidR="00AD673A">
          <w:rPr>
            <w:noProof/>
            <w:webHidden/>
          </w:rPr>
          <w:fldChar w:fldCharType="begin"/>
        </w:r>
        <w:r w:rsidR="00AD673A">
          <w:rPr>
            <w:noProof/>
            <w:webHidden/>
          </w:rPr>
          <w:instrText xml:space="preserve"> PAGEREF _Toc100071360 \h </w:instrText>
        </w:r>
        <w:r w:rsidR="00AD673A">
          <w:rPr>
            <w:noProof/>
            <w:webHidden/>
          </w:rPr>
        </w:r>
        <w:r w:rsidR="00AD673A">
          <w:rPr>
            <w:noProof/>
            <w:webHidden/>
          </w:rPr>
          <w:fldChar w:fldCharType="separate"/>
        </w:r>
        <w:r w:rsidR="00AD673A">
          <w:rPr>
            <w:noProof/>
            <w:webHidden/>
          </w:rPr>
          <w:t>14</w:t>
        </w:r>
        <w:r w:rsidR="00AD673A">
          <w:rPr>
            <w:noProof/>
            <w:webHidden/>
          </w:rPr>
          <w:fldChar w:fldCharType="end"/>
        </w:r>
      </w:hyperlink>
    </w:p>
    <w:p w14:paraId="416375C5" w14:textId="6ABCAAB7" w:rsidR="00AD673A" w:rsidRDefault="00E05B9F">
      <w:pPr>
        <w:pStyle w:val="TOC1"/>
        <w:tabs>
          <w:tab w:val="right" w:leader="dot" w:pos="9350"/>
        </w:tabs>
        <w:rPr>
          <w:rFonts w:asciiTheme="minorHAnsi" w:eastAsiaTheme="minorEastAsia" w:hAnsiTheme="minorHAnsi" w:cstheme="minorBidi"/>
          <w:b w:val="0"/>
          <w:bCs w:val="0"/>
          <w:noProof/>
          <w:lang w:val="en-CA"/>
        </w:rPr>
      </w:pPr>
      <w:hyperlink w:anchor="_Toc100071361" w:history="1">
        <w:r w:rsidR="00AD673A" w:rsidRPr="00575F64">
          <w:rPr>
            <w:rStyle w:val="Hyperlink"/>
            <w:noProof/>
          </w:rPr>
          <w:t>Factor 7: Prior Failure to Appear Pretrial in Past Two Years</w:t>
        </w:r>
        <w:r w:rsidR="00AD673A">
          <w:rPr>
            <w:rStyle w:val="Hyperlink"/>
            <w:noProof/>
          </w:rPr>
          <w:br/>
        </w:r>
        <w:r w:rsidR="00AD673A" w:rsidRPr="00575F64">
          <w:rPr>
            <w:rStyle w:val="Hyperlink"/>
            <w:noProof/>
          </w:rPr>
          <w:t>Factor 8: Prior Failure to Appear Pretrial Older Than Two Years</w:t>
        </w:r>
        <w:r w:rsidR="00AD673A">
          <w:rPr>
            <w:noProof/>
            <w:webHidden/>
          </w:rPr>
          <w:tab/>
        </w:r>
        <w:r w:rsidR="00AD673A">
          <w:rPr>
            <w:noProof/>
            <w:webHidden/>
          </w:rPr>
          <w:fldChar w:fldCharType="begin"/>
        </w:r>
        <w:r w:rsidR="00AD673A">
          <w:rPr>
            <w:noProof/>
            <w:webHidden/>
          </w:rPr>
          <w:instrText xml:space="preserve"> PAGEREF _Toc100071361 \h </w:instrText>
        </w:r>
        <w:r w:rsidR="00AD673A">
          <w:rPr>
            <w:noProof/>
            <w:webHidden/>
          </w:rPr>
        </w:r>
        <w:r w:rsidR="00AD673A">
          <w:rPr>
            <w:noProof/>
            <w:webHidden/>
          </w:rPr>
          <w:fldChar w:fldCharType="separate"/>
        </w:r>
        <w:r w:rsidR="00AD673A">
          <w:rPr>
            <w:noProof/>
            <w:webHidden/>
          </w:rPr>
          <w:t>15</w:t>
        </w:r>
        <w:r w:rsidR="00AD673A">
          <w:rPr>
            <w:noProof/>
            <w:webHidden/>
          </w:rPr>
          <w:fldChar w:fldCharType="end"/>
        </w:r>
      </w:hyperlink>
    </w:p>
    <w:p w14:paraId="1FA9E368" w14:textId="184B200B" w:rsidR="00AD673A" w:rsidRDefault="00E05B9F">
      <w:pPr>
        <w:pStyle w:val="TOC1"/>
        <w:tabs>
          <w:tab w:val="right" w:leader="dot" w:pos="9350"/>
        </w:tabs>
        <w:rPr>
          <w:rFonts w:asciiTheme="minorHAnsi" w:eastAsiaTheme="minorEastAsia" w:hAnsiTheme="minorHAnsi" w:cstheme="minorBidi"/>
          <w:b w:val="0"/>
          <w:bCs w:val="0"/>
          <w:noProof/>
          <w:lang w:val="en-CA"/>
        </w:rPr>
      </w:pPr>
      <w:hyperlink w:anchor="_Toc100071362" w:history="1">
        <w:r w:rsidR="00AD673A" w:rsidRPr="00575F64">
          <w:rPr>
            <w:rStyle w:val="Hyperlink"/>
            <w:noProof/>
          </w:rPr>
          <w:t>Factor 9: Prior Sentence to Incarceration</w:t>
        </w:r>
        <w:r w:rsidR="00AD673A">
          <w:rPr>
            <w:noProof/>
            <w:webHidden/>
          </w:rPr>
          <w:tab/>
        </w:r>
        <w:r w:rsidR="00AD673A">
          <w:rPr>
            <w:noProof/>
            <w:webHidden/>
          </w:rPr>
          <w:fldChar w:fldCharType="begin"/>
        </w:r>
        <w:r w:rsidR="00AD673A">
          <w:rPr>
            <w:noProof/>
            <w:webHidden/>
          </w:rPr>
          <w:instrText xml:space="preserve"> PAGEREF _Toc100071362 \h </w:instrText>
        </w:r>
        <w:r w:rsidR="00AD673A">
          <w:rPr>
            <w:noProof/>
            <w:webHidden/>
          </w:rPr>
        </w:r>
        <w:r w:rsidR="00AD673A">
          <w:rPr>
            <w:noProof/>
            <w:webHidden/>
          </w:rPr>
          <w:fldChar w:fldCharType="separate"/>
        </w:r>
        <w:r w:rsidR="00AD673A">
          <w:rPr>
            <w:noProof/>
            <w:webHidden/>
          </w:rPr>
          <w:t>17</w:t>
        </w:r>
        <w:r w:rsidR="00AD673A">
          <w:rPr>
            <w:noProof/>
            <w:webHidden/>
          </w:rPr>
          <w:fldChar w:fldCharType="end"/>
        </w:r>
      </w:hyperlink>
    </w:p>
    <w:p w14:paraId="5385C247" w14:textId="6DC620A6" w:rsidR="00AD673A" w:rsidRDefault="00E05B9F">
      <w:pPr>
        <w:pStyle w:val="TOC1"/>
        <w:tabs>
          <w:tab w:val="right" w:leader="dot" w:pos="9350"/>
        </w:tabs>
        <w:rPr>
          <w:rFonts w:asciiTheme="minorHAnsi" w:eastAsiaTheme="minorEastAsia" w:hAnsiTheme="minorHAnsi" w:cstheme="minorBidi"/>
          <w:b w:val="0"/>
          <w:bCs w:val="0"/>
          <w:noProof/>
          <w:lang w:val="en-CA"/>
        </w:rPr>
      </w:pPr>
      <w:hyperlink w:anchor="_Toc100071363" w:history="1">
        <w:r w:rsidR="00AD673A" w:rsidRPr="00575F64">
          <w:rPr>
            <w:rStyle w:val="Hyperlink"/>
            <w:noProof/>
          </w:rPr>
          <w:t>PSA Outcomes</w:t>
        </w:r>
        <w:r w:rsidR="00AD673A">
          <w:rPr>
            <w:noProof/>
            <w:webHidden/>
          </w:rPr>
          <w:tab/>
        </w:r>
        <w:r w:rsidR="00AD673A">
          <w:rPr>
            <w:noProof/>
            <w:webHidden/>
          </w:rPr>
          <w:fldChar w:fldCharType="begin"/>
        </w:r>
        <w:r w:rsidR="00AD673A">
          <w:rPr>
            <w:noProof/>
            <w:webHidden/>
          </w:rPr>
          <w:instrText xml:space="preserve"> PAGEREF _Toc100071363 \h </w:instrText>
        </w:r>
        <w:r w:rsidR="00AD673A">
          <w:rPr>
            <w:noProof/>
            <w:webHidden/>
          </w:rPr>
        </w:r>
        <w:r w:rsidR="00AD673A">
          <w:rPr>
            <w:noProof/>
            <w:webHidden/>
          </w:rPr>
          <w:fldChar w:fldCharType="separate"/>
        </w:r>
        <w:r w:rsidR="00AD673A">
          <w:rPr>
            <w:noProof/>
            <w:webHidden/>
          </w:rPr>
          <w:t>19</w:t>
        </w:r>
        <w:r w:rsidR="00AD673A">
          <w:rPr>
            <w:noProof/>
            <w:webHidden/>
          </w:rPr>
          <w:fldChar w:fldCharType="end"/>
        </w:r>
      </w:hyperlink>
    </w:p>
    <w:p w14:paraId="3862D886" w14:textId="4D7B1228" w:rsidR="0052496C" w:rsidRPr="00AE0C35" w:rsidRDefault="00AE0C35" w:rsidP="00AE0C35">
      <w:r>
        <w:rPr>
          <w:rFonts w:cs="Arial (Headings)"/>
          <w:bCs/>
          <w:caps/>
          <w:sz w:val="24"/>
        </w:rPr>
        <w:fldChar w:fldCharType="end"/>
      </w:r>
      <w:r w:rsidR="00B831EC" w:rsidRPr="00AE0C35">
        <w:br w:type="page"/>
      </w:r>
    </w:p>
    <w:p w14:paraId="42BFC62A" w14:textId="77777777" w:rsidR="00DD4BA1" w:rsidRPr="00DD4BA1" w:rsidRDefault="00DD4BA1" w:rsidP="00DD4BA1">
      <w:pPr>
        <w:pStyle w:val="Heading1"/>
      </w:pPr>
      <w:bookmarkStart w:id="0" w:name="_Toc100071351"/>
      <w:r w:rsidRPr="00DD4BA1">
        <w:lastRenderedPageBreak/>
        <w:t>Introduction</w:t>
      </w:r>
      <w:bookmarkEnd w:id="0"/>
    </w:p>
    <w:p w14:paraId="522220A8" w14:textId="77777777" w:rsidR="00DD4BA1" w:rsidRDefault="00DD4BA1" w:rsidP="00DD4BA1">
      <w:pPr>
        <w:pStyle w:val="MainTextBody"/>
      </w:pPr>
      <w:r>
        <w:t>The Public Safety Assessment (PSA) can assist judicial officers and other professionals in making pretrial decisions. An actuarial pretrial assessment such as the PSA, which was developed by Arnold Ventures, is often one component of a jurisdiction’s efforts to improve its pretrial system. The PSA provides information about the likelihood that people who are charged will appear in court and will not be arrested, including for violent offenses, during pretrial release. For more information about the PSA, pretrial decisions, and other pretrial improvements, see the APPR website (</w:t>
      </w:r>
      <w:hyperlink r:id="rId8">
        <w:r>
          <w:rPr>
            <w:color w:val="2781A2"/>
          </w:rPr>
          <w:t>advancingpretrial.org</w:t>
        </w:r>
      </w:hyperlink>
      <w:r>
        <w:t>).</w:t>
      </w:r>
    </w:p>
    <w:p w14:paraId="024BC05A" w14:textId="77777777" w:rsidR="00DD4BA1" w:rsidRDefault="00DD4BA1" w:rsidP="00DD4BA1">
      <w:pPr>
        <w:pStyle w:val="MainTextBody"/>
      </w:pPr>
      <w:r>
        <w:t xml:space="preserve">Jurisdictions must use the same definitions of the PSA factors and outcomes that researchers used when creating and validating the PSA. This will ensure fidelity with the PSA and maximize its predictive accuracy. But each jurisdiction should tailor this PSA Scoring Manual to reflect any relevant local circumstances, clarify how uncommon circumstances are treated, and identify the sources of the data that will be used locally to score each factor. </w:t>
      </w:r>
    </w:p>
    <w:p w14:paraId="2F1EDEB7" w14:textId="77777777" w:rsidR="00DD4BA1" w:rsidRDefault="00DD4BA1" w:rsidP="00DD4BA1">
      <w:pPr>
        <w:pStyle w:val="MainTextBody"/>
      </w:pPr>
      <w:r>
        <w:t>Ultimately, the PSA Scoring Manual will become an important resource for your jurisdiction and will serve as a critical reference for staff who are scoring the assessment and for judicial officers and others who need to understand the PSA scores.</w:t>
      </w:r>
    </w:p>
    <w:p w14:paraId="4E52D7CA" w14:textId="77777777" w:rsidR="00DD4BA1" w:rsidRDefault="00DD4BA1" w:rsidP="00DD4BA1">
      <w:r>
        <w:br w:type="page"/>
      </w:r>
    </w:p>
    <w:p w14:paraId="5B2D51E6" w14:textId="77777777" w:rsidR="00DD4BA1" w:rsidRDefault="00DD4BA1" w:rsidP="00DD4BA1">
      <w:pPr>
        <w:pStyle w:val="Heading1"/>
      </w:pPr>
      <w:bookmarkStart w:id="1" w:name="_heading=h.30j0zll" w:colFirst="0" w:colLast="0"/>
      <w:bookmarkStart w:id="2" w:name="_Toc100071352"/>
      <w:bookmarkEnd w:id="1"/>
      <w:r>
        <w:lastRenderedPageBreak/>
        <w:t>Suitability for Assessment</w:t>
      </w:r>
      <w:bookmarkEnd w:id="2"/>
    </w:p>
    <w:p w14:paraId="74ABC582" w14:textId="77777777" w:rsidR="00DD4BA1" w:rsidRPr="00B2414A" w:rsidRDefault="00DD4BA1" w:rsidP="00B2414A">
      <w:pPr>
        <w:pStyle w:val="MainTextSpace"/>
      </w:pPr>
      <w:r w:rsidRPr="00B2414A">
        <w:t>Prior to completing the PSA, confirm that you should use it for the person.</w:t>
      </w:r>
    </w:p>
    <w:tbl>
      <w:tblPr>
        <w:tblW w:w="9350" w:type="dxa"/>
        <w:tblBorders>
          <w:top w:val="single" w:sz="8" w:space="0" w:color="A5A5A5"/>
          <w:left w:val="single" w:sz="4" w:space="0" w:color="000000"/>
          <w:bottom w:val="single" w:sz="8" w:space="0" w:color="A5A5A5"/>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5665"/>
      </w:tblGrid>
      <w:tr w:rsidR="00DD4BA1" w14:paraId="2CDA7EC8" w14:textId="77777777" w:rsidTr="00FC52A8">
        <w:trPr>
          <w:tblHeader/>
        </w:trPr>
        <w:tc>
          <w:tcPr>
            <w:tcW w:w="3685" w:type="dxa"/>
            <w:tcBorders>
              <w:right w:val="single" w:sz="4" w:space="0" w:color="70AD47"/>
            </w:tcBorders>
            <w:shd w:val="clear" w:color="auto" w:fill="002060"/>
          </w:tcPr>
          <w:p w14:paraId="7CC50E13" w14:textId="77777777" w:rsidR="00DD4BA1" w:rsidRDefault="00DD4BA1" w:rsidP="00B2414A">
            <w:pPr>
              <w:pStyle w:val="TableHead"/>
              <w:rPr>
                <w:color w:val="000000"/>
              </w:rPr>
            </w:pPr>
            <w:r>
              <w:t>Definition</w:t>
            </w:r>
          </w:p>
        </w:tc>
        <w:tc>
          <w:tcPr>
            <w:tcW w:w="5665" w:type="dxa"/>
            <w:tcBorders>
              <w:left w:val="single" w:sz="4" w:space="0" w:color="70AD47"/>
            </w:tcBorders>
            <w:shd w:val="clear" w:color="auto" w:fill="002060"/>
          </w:tcPr>
          <w:p w14:paraId="2EB9E6DD" w14:textId="77777777" w:rsidR="00DD4BA1" w:rsidRDefault="00DD4BA1" w:rsidP="00B2414A">
            <w:pPr>
              <w:pStyle w:val="TableHead"/>
              <w:rPr>
                <w:color w:val="000000"/>
              </w:rPr>
            </w:pPr>
            <w:r>
              <w:t>Frequently Asked Questions (FAQs)</w:t>
            </w:r>
          </w:p>
        </w:tc>
      </w:tr>
      <w:tr w:rsidR="00DD4BA1" w14:paraId="682DF5CD" w14:textId="77777777" w:rsidTr="00FC52A8">
        <w:tc>
          <w:tcPr>
            <w:tcW w:w="3685" w:type="dxa"/>
          </w:tcPr>
          <w:p w14:paraId="553E97F8" w14:textId="77777777" w:rsidR="00DD4BA1" w:rsidRDefault="00DD4BA1" w:rsidP="00B2414A">
            <w:pPr>
              <w:pStyle w:val="tablebulletslevelone"/>
            </w:pPr>
            <w:r>
              <w:t>The PSA was developed to assess people who meet all of the following criteria:</w:t>
            </w:r>
          </w:p>
          <w:p w14:paraId="5D58F2B6" w14:textId="77777777" w:rsidR="00DD4BA1" w:rsidRDefault="00DD4BA1" w:rsidP="00B2414A">
            <w:pPr>
              <w:pStyle w:val="tablebulletsleveltwo"/>
            </w:pPr>
            <w:r>
              <w:t xml:space="preserve">they are 18 years of age or older; </w:t>
            </w:r>
          </w:p>
          <w:p w14:paraId="3864265B" w14:textId="77777777" w:rsidR="00DD4BA1" w:rsidRDefault="00DD4BA1" w:rsidP="00B2414A">
            <w:pPr>
              <w:pStyle w:val="tablebulletsleveltwo"/>
            </w:pPr>
            <w:r>
              <w:t xml:space="preserve">they are charged in the </w:t>
            </w:r>
            <w:r>
              <w:rPr>
                <w:b/>
              </w:rPr>
              <w:t>adult criminal legal system;</w:t>
            </w:r>
            <w:r>
              <w:t xml:space="preserve"> </w:t>
            </w:r>
          </w:p>
          <w:p w14:paraId="75203CA9" w14:textId="77777777" w:rsidR="00DD4BA1" w:rsidRDefault="00DD4BA1" w:rsidP="00B2414A">
            <w:pPr>
              <w:pStyle w:val="tablebulletsleveltwo"/>
            </w:pPr>
            <w:r>
              <w:t xml:space="preserve">they have been arrested and booked into jail; and </w:t>
            </w:r>
          </w:p>
          <w:p w14:paraId="70C403CC" w14:textId="77777777" w:rsidR="00DD4BA1" w:rsidRDefault="00DD4BA1" w:rsidP="00B2414A">
            <w:pPr>
              <w:pStyle w:val="tablebulletsleveltwo"/>
            </w:pPr>
            <w:r>
              <w:t xml:space="preserve">their case is pending disposition. </w:t>
            </w:r>
          </w:p>
          <w:p w14:paraId="2AD2923C" w14:textId="77777777" w:rsidR="00DD4BA1" w:rsidRDefault="00DD4BA1" w:rsidP="00B2414A">
            <w:pPr>
              <w:pStyle w:val="tablebulletsleveltwo"/>
            </w:pPr>
            <w:r>
              <w:t xml:space="preserve">they will appear before a judicial officer for a pretrial release decision because they have been either </w:t>
            </w:r>
            <w:r>
              <w:br/>
              <w:t xml:space="preserve">(a) charged with a new criminal offense; </w:t>
            </w:r>
            <w:r>
              <w:br/>
              <w:t>or</w:t>
            </w:r>
            <w:r>
              <w:br/>
              <w:t xml:space="preserve">(b) arrested on a warrant for a pretrial failure to appear. </w:t>
            </w:r>
          </w:p>
          <w:p w14:paraId="6B40DBA4" w14:textId="77777777" w:rsidR="00DD4BA1" w:rsidRDefault="00DD4BA1" w:rsidP="00B2414A">
            <w:pPr>
              <w:pStyle w:val="tablebulletslevelone"/>
            </w:pPr>
            <w:r>
              <w:t>The PSA should not be used to assess people when they are charged with an offense that allegedly occurred while they were already in jail or prison.</w:t>
            </w:r>
          </w:p>
          <w:p w14:paraId="3237063C" w14:textId="77777777" w:rsidR="00DD4BA1" w:rsidRDefault="00DD4BA1" w:rsidP="00B2414A">
            <w:pPr>
              <w:pStyle w:val="tablebulletslevelone"/>
            </w:pPr>
            <w:r>
              <w:t xml:space="preserve">The PSA should not be used to assess people when they have allegedly committed a post-conviction (i.e., probation) technical violation. </w:t>
            </w:r>
          </w:p>
        </w:tc>
        <w:tc>
          <w:tcPr>
            <w:tcW w:w="5665" w:type="dxa"/>
          </w:tcPr>
          <w:p w14:paraId="03F6F5C1" w14:textId="77777777" w:rsidR="00DD4BA1" w:rsidRDefault="00DD4BA1" w:rsidP="00B2414A">
            <w:pPr>
              <w:pStyle w:val="TableBody"/>
            </w:pPr>
            <w:r>
              <w:rPr>
                <w:b/>
              </w:rPr>
              <w:t>Q:</w:t>
            </w:r>
            <w:r>
              <w:t xml:space="preserve"> The person was arrested and a PSA was completed. They are in custody and the charges have been modified. Should I rescore the PSA?</w:t>
            </w:r>
          </w:p>
          <w:p w14:paraId="343EAB4E" w14:textId="77777777" w:rsidR="00DD4BA1" w:rsidRDefault="00DD4BA1" w:rsidP="00B2414A">
            <w:pPr>
              <w:pStyle w:val="TableBody"/>
            </w:pPr>
            <w:r>
              <w:rPr>
                <w:b/>
              </w:rPr>
              <w:t>A:</w:t>
            </w:r>
            <w:r>
              <w:t xml:space="preserve"> If the charge related to the same incident/offense date was modified from nonviolent to violent, or vice versa, then then that part of the PSA should be rescored. Do not rescore other parts of the PSA unless you determine that those parts were scored incorrectly based on the person’s status at the time of the arrest.</w:t>
            </w:r>
          </w:p>
          <w:p w14:paraId="633EA008" w14:textId="77777777" w:rsidR="00DD4BA1" w:rsidRDefault="00DD4BA1" w:rsidP="00B2414A">
            <w:pPr>
              <w:pStyle w:val="TableBody"/>
            </w:pPr>
          </w:p>
          <w:p w14:paraId="748E44CB" w14:textId="77777777" w:rsidR="00DD4BA1" w:rsidRDefault="00DD4BA1" w:rsidP="00B2414A">
            <w:pPr>
              <w:pStyle w:val="TableBody"/>
            </w:pPr>
            <w:r>
              <w:rPr>
                <w:b/>
              </w:rPr>
              <w:t>Q:</w:t>
            </w:r>
            <w:r>
              <w:t xml:space="preserve"> The person being charged is a juvenile (younger than age 18) but is being charged as an adult. Do we score a PSA?</w:t>
            </w:r>
          </w:p>
          <w:p w14:paraId="10F2238C" w14:textId="77777777" w:rsidR="00DD4BA1" w:rsidRDefault="00DD4BA1" w:rsidP="00B2414A">
            <w:pPr>
              <w:pStyle w:val="TableBody"/>
            </w:pPr>
            <w:r>
              <w:rPr>
                <w:b/>
              </w:rPr>
              <w:t>A:</w:t>
            </w:r>
            <w:r>
              <w:t xml:space="preserve"> No. The PSA is used only when the person being charged is 18 years of age or older. Note that a person’s juvenile history is not used to score the PSA. </w:t>
            </w:r>
          </w:p>
          <w:p w14:paraId="344A78D1" w14:textId="77777777" w:rsidR="00DD4BA1" w:rsidRDefault="00DD4BA1" w:rsidP="00B2414A">
            <w:pPr>
              <w:pStyle w:val="TableBody"/>
            </w:pPr>
          </w:p>
          <w:p w14:paraId="2809C44B" w14:textId="77777777" w:rsidR="00DD4BA1" w:rsidRDefault="00DD4BA1" w:rsidP="00B2414A">
            <w:pPr>
              <w:pStyle w:val="TableBody"/>
            </w:pPr>
            <w:r>
              <w:rPr>
                <w:b/>
              </w:rPr>
              <w:t>Q:</w:t>
            </w:r>
            <w:r>
              <w:t xml:space="preserve"> What is considered case disposition for purposes of completing a PSA?</w:t>
            </w:r>
          </w:p>
          <w:p w14:paraId="19BC26F9" w14:textId="77777777" w:rsidR="00DD4BA1" w:rsidRDefault="00DD4BA1" w:rsidP="00B2414A">
            <w:pPr>
              <w:pStyle w:val="TableBody"/>
            </w:pPr>
            <w:r>
              <w:rPr>
                <w:b/>
              </w:rPr>
              <w:t>A:</w:t>
            </w:r>
            <w:r>
              <w:t xml:space="preserve"> Whether a case is pending disposition depends on how your jurisdiction defines disposition. Some jurisdictions consider disposition to be adjudication (i.e., a finding or plea of guilty, a finding of not guilty, a dismissal) while others consider it to be sentencing.</w:t>
            </w:r>
          </w:p>
          <w:p w14:paraId="622FDAFF" w14:textId="77777777" w:rsidR="00DD4BA1" w:rsidRDefault="00DD4BA1" w:rsidP="00B2414A">
            <w:pPr>
              <w:pStyle w:val="TableBody"/>
            </w:pPr>
          </w:p>
          <w:p w14:paraId="60F15FD9" w14:textId="77777777" w:rsidR="00DD4BA1" w:rsidRDefault="00DD4BA1" w:rsidP="00B2414A">
            <w:pPr>
              <w:pStyle w:val="TableBody"/>
            </w:pPr>
            <w:r>
              <w:rPr>
                <w:b/>
              </w:rPr>
              <w:t>Q:</w:t>
            </w:r>
            <w:r>
              <w:t xml:space="preserve"> Should the PSA be used when someone is arrested on a warrant for a pretrial failure to appear and is booked into jail—even if the person has no new criminal charges and the FTA warrant is not charged as a new offense?</w:t>
            </w:r>
          </w:p>
          <w:p w14:paraId="26F6E14C" w14:textId="77777777" w:rsidR="00DD4BA1" w:rsidRDefault="00DD4BA1" w:rsidP="00B2414A">
            <w:pPr>
              <w:pStyle w:val="TableBody"/>
            </w:pPr>
            <w:r>
              <w:rPr>
                <w:b/>
              </w:rPr>
              <w:t>A:</w:t>
            </w:r>
            <w:r>
              <w:t xml:space="preserve"> Yes. A new PSA should be completed because the person will appear before a judicial officer for a pretrial release decision. </w:t>
            </w:r>
          </w:p>
        </w:tc>
      </w:tr>
    </w:tbl>
    <w:p w14:paraId="463BA778" w14:textId="77777777" w:rsidR="00DD4BA1" w:rsidRDefault="00DD4BA1" w:rsidP="00DD4BA1">
      <w:r>
        <w:br w:type="page"/>
      </w:r>
    </w:p>
    <w:p w14:paraId="799472F1" w14:textId="77777777" w:rsidR="00DD4BA1" w:rsidRDefault="00DD4BA1" w:rsidP="00DD4BA1">
      <w:pPr>
        <w:pStyle w:val="Heading1"/>
      </w:pPr>
      <w:bookmarkStart w:id="3" w:name="_heading=h.3znysh7" w:colFirst="0" w:colLast="0"/>
      <w:bookmarkStart w:id="4" w:name="_Toc100071353"/>
      <w:bookmarkEnd w:id="3"/>
      <w:r>
        <w:lastRenderedPageBreak/>
        <w:t>Relevant Data</w:t>
      </w:r>
      <w:bookmarkEnd w:id="4"/>
    </w:p>
    <w:p w14:paraId="4F0A8B46" w14:textId="77777777" w:rsidR="00DD4BA1" w:rsidRDefault="00DD4BA1" w:rsidP="00DD4BA1">
      <w:pPr>
        <w:pStyle w:val="MainTextBody"/>
      </w:pPr>
      <w:r>
        <w:t xml:space="preserve">To complete the PSA, you may use only certain data. </w:t>
      </w:r>
    </w:p>
    <w:tbl>
      <w:tblPr>
        <w:tblW w:w="9350" w:type="dxa"/>
        <w:tblBorders>
          <w:top w:val="single" w:sz="8" w:space="0" w:color="A5A5A5"/>
          <w:left w:val="single" w:sz="4" w:space="0" w:color="000000"/>
          <w:bottom w:val="single" w:sz="8" w:space="0" w:color="A5A5A5"/>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5665"/>
      </w:tblGrid>
      <w:tr w:rsidR="00DD4BA1" w14:paraId="031337AF" w14:textId="77777777" w:rsidTr="00FC52A8">
        <w:trPr>
          <w:tblHeader/>
        </w:trPr>
        <w:tc>
          <w:tcPr>
            <w:tcW w:w="3685" w:type="dxa"/>
            <w:tcBorders>
              <w:right w:val="single" w:sz="4" w:space="0" w:color="70AD47"/>
            </w:tcBorders>
            <w:shd w:val="clear" w:color="auto" w:fill="002060"/>
          </w:tcPr>
          <w:p w14:paraId="628DE2DB" w14:textId="77777777" w:rsidR="00DD4BA1" w:rsidRDefault="00DD4BA1" w:rsidP="00B2414A">
            <w:pPr>
              <w:pStyle w:val="TableHead"/>
            </w:pPr>
            <w:r>
              <w:t>Definition</w:t>
            </w:r>
          </w:p>
        </w:tc>
        <w:tc>
          <w:tcPr>
            <w:tcW w:w="5665" w:type="dxa"/>
            <w:tcBorders>
              <w:left w:val="single" w:sz="4" w:space="0" w:color="70AD47"/>
            </w:tcBorders>
            <w:shd w:val="clear" w:color="auto" w:fill="002060"/>
          </w:tcPr>
          <w:p w14:paraId="7844D102" w14:textId="77777777" w:rsidR="00DD4BA1" w:rsidRDefault="00DD4BA1" w:rsidP="00B2414A">
            <w:pPr>
              <w:pStyle w:val="TableHead"/>
            </w:pPr>
            <w:r>
              <w:t>Frequently Asked Questions (FAQs)</w:t>
            </w:r>
          </w:p>
        </w:tc>
      </w:tr>
      <w:tr w:rsidR="00DD4BA1" w14:paraId="79C30556" w14:textId="77777777" w:rsidTr="00FC52A8">
        <w:tc>
          <w:tcPr>
            <w:tcW w:w="3685" w:type="dxa"/>
          </w:tcPr>
          <w:p w14:paraId="134BF517" w14:textId="77777777" w:rsidR="00DD4BA1" w:rsidRDefault="00DD4BA1" w:rsidP="00A103C8">
            <w:pPr>
              <w:pStyle w:val="tablebulletslevelone"/>
            </w:pPr>
            <w:r>
              <w:t>Use only a person’s adult criminal history and adult court appearance history.</w:t>
            </w:r>
          </w:p>
          <w:p w14:paraId="640635E4" w14:textId="77777777" w:rsidR="00DD4BA1" w:rsidRDefault="00DD4BA1" w:rsidP="00A103C8">
            <w:pPr>
              <w:pStyle w:val="tablebulletsleveltwo"/>
            </w:pPr>
            <w:r>
              <w:t xml:space="preserve">Do </w:t>
            </w:r>
            <w:r>
              <w:rPr>
                <w:b/>
              </w:rPr>
              <w:t>not</w:t>
            </w:r>
            <w:r>
              <w:t xml:space="preserve"> use a person’s juvenile history.</w:t>
            </w:r>
          </w:p>
          <w:p w14:paraId="5D4E680F" w14:textId="77777777" w:rsidR="00DD4BA1" w:rsidRDefault="00DD4BA1" w:rsidP="00A103C8">
            <w:pPr>
              <w:pStyle w:val="tablebulletslevelone"/>
            </w:pPr>
            <w:r>
              <w:t>Use only traffic and criminal charges that carry a potential penalty of incarceration (such as jail or prison).</w:t>
            </w:r>
          </w:p>
          <w:p w14:paraId="23FAE76F" w14:textId="77777777" w:rsidR="00DD4BA1" w:rsidRDefault="00DD4BA1" w:rsidP="00A103C8">
            <w:pPr>
              <w:pStyle w:val="tablebulletsleveltwo"/>
            </w:pPr>
            <w:r>
              <w:t xml:space="preserve">Do </w:t>
            </w:r>
            <w:r>
              <w:rPr>
                <w:b/>
              </w:rPr>
              <w:t>not</w:t>
            </w:r>
            <w:r>
              <w:t xml:space="preserve"> use civil traffic violations.</w:t>
            </w:r>
          </w:p>
          <w:p w14:paraId="6B8D5AF3" w14:textId="77777777" w:rsidR="00DD4BA1" w:rsidRDefault="00DD4BA1" w:rsidP="00A103C8">
            <w:pPr>
              <w:pStyle w:val="tablebulletsleveltwo"/>
            </w:pPr>
            <w:r>
              <w:t xml:space="preserve">Do </w:t>
            </w:r>
            <w:r>
              <w:rPr>
                <w:b/>
              </w:rPr>
              <w:t>not</w:t>
            </w:r>
            <w:r>
              <w:t xml:space="preserve"> use local ordinance violations unless they carry a potential penalty of incarceration.</w:t>
            </w:r>
          </w:p>
          <w:p w14:paraId="28E6FD03" w14:textId="77777777" w:rsidR="00DD4BA1" w:rsidRDefault="00DD4BA1" w:rsidP="00A103C8">
            <w:pPr>
              <w:pStyle w:val="tablebulletslevelone"/>
            </w:pPr>
            <w:r>
              <w:t>Use only administrative data.</w:t>
            </w:r>
          </w:p>
          <w:p w14:paraId="408522BF" w14:textId="77777777" w:rsidR="00DD4BA1" w:rsidRDefault="00DD4BA1" w:rsidP="00A103C8">
            <w:pPr>
              <w:pStyle w:val="tablebulletsleveltwo"/>
            </w:pPr>
            <w:r>
              <w:t xml:space="preserve">Do </w:t>
            </w:r>
            <w:r>
              <w:rPr>
                <w:b/>
              </w:rPr>
              <w:t>not</w:t>
            </w:r>
            <w:r>
              <w:t xml:space="preserve"> use any information the person self-reports, such as information obtained during an interview.</w:t>
            </w:r>
          </w:p>
        </w:tc>
        <w:tc>
          <w:tcPr>
            <w:tcW w:w="5665" w:type="dxa"/>
          </w:tcPr>
          <w:p w14:paraId="4E92DE3D" w14:textId="77777777" w:rsidR="00DD4BA1" w:rsidRPr="00A103C8" w:rsidRDefault="00DD4BA1" w:rsidP="00A103C8">
            <w:pPr>
              <w:pStyle w:val="TableBody"/>
            </w:pPr>
            <w:r>
              <w:rPr>
                <w:b/>
              </w:rPr>
              <w:t>Q:</w:t>
            </w:r>
            <w:r>
              <w:t xml:space="preserve"> Should </w:t>
            </w:r>
            <w:r w:rsidRPr="00A103C8">
              <w:t>I complete the PSA if the statewide system or the National Crime Information Center (NCIC) criminal history database is down?</w:t>
            </w:r>
          </w:p>
          <w:p w14:paraId="7364B6BA" w14:textId="77777777" w:rsidR="00DD4BA1" w:rsidRDefault="00DD4BA1" w:rsidP="00A103C8">
            <w:pPr>
              <w:pStyle w:val="TableBody"/>
            </w:pPr>
            <w:r w:rsidRPr="00A103C8">
              <w:rPr>
                <w:b/>
                <w:bCs/>
              </w:rPr>
              <w:t>A:</w:t>
            </w:r>
            <w:r w:rsidRPr="00A103C8">
              <w:t xml:space="preserve"> No. If the data systems from which the PSA data are drawn are not accessible, do not complete the PSA. Completing the PSA without statewide and NCIC data could result in less predictive </w:t>
            </w:r>
            <w:r>
              <w:t>results.</w:t>
            </w:r>
          </w:p>
        </w:tc>
      </w:tr>
    </w:tbl>
    <w:p w14:paraId="49B0B98A" w14:textId="77777777" w:rsidR="00DD4BA1" w:rsidRDefault="00DD4BA1" w:rsidP="00DD4BA1">
      <w:pPr>
        <w:pBdr>
          <w:top w:val="nil"/>
          <w:left w:val="nil"/>
          <w:bottom w:val="nil"/>
          <w:right w:val="nil"/>
          <w:between w:val="nil"/>
        </w:pBdr>
        <w:spacing w:after="100" w:line="270" w:lineRule="auto"/>
        <w:rPr>
          <w:color w:val="000000"/>
        </w:rPr>
      </w:pPr>
    </w:p>
    <w:p w14:paraId="1BCAC25F" w14:textId="77777777" w:rsidR="00DD4BA1" w:rsidRDefault="00DD4BA1" w:rsidP="00DD4BA1">
      <w:pPr>
        <w:spacing w:after="100" w:line="260" w:lineRule="auto"/>
      </w:pPr>
      <w:r>
        <w:br w:type="page"/>
      </w:r>
    </w:p>
    <w:p w14:paraId="4C8F64D1" w14:textId="77777777" w:rsidR="00DD4BA1" w:rsidRPr="00B2414A" w:rsidRDefault="00DD4BA1" w:rsidP="00B2414A">
      <w:pPr>
        <w:pStyle w:val="Heading1"/>
      </w:pPr>
      <w:bookmarkStart w:id="5" w:name="_heading=h.2et92p0" w:colFirst="0" w:colLast="0"/>
      <w:bookmarkStart w:id="6" w:name="_Toc100071354"/>
      <w:bookmarkEnd w:id="5"/>
      <w:r w:rsidRPr="00B2414A">
        <w:lastRenderedPageBreak/>
        <w:t>Factor 1: Age at Current Arrest</w:t>
      </w:r>
      <w:bookmarkEnd w:id="6"/>
    </w:p>
    <w:p w14:paraId="45B9FF44" w14:textId="77777777" w:rsidR="00B2414A" w:rsidRPr="00B2414A" w:rsidRDefault="00B2414A" w:rsidP="00B2414A">
      <w:pPr>
        <w:pStyle w:val="MainTextSpace"/>
        <w:rPr>
          <w:b/>
          <w:bCs/>
        </w:rPr>
      </w:pPr>
      <w:r w:rsidRPr="00B2414A">
        <w:rPr>
          <w:b/>
          <w:bCs/>
        </w:rPr>
        <w:t>Data Source(s): ______________</w:t>
      </w:r>
    </w:p>
    <w:tbl>
      <w:tblPr>
        <w:tblW w:w="9350" w:type="dxa"/>
        <w:tblBorders>
          <w:top w:val="single" w:sz="8" w:space="0" w:color="A5A5A5"/>
          <w:left w:val="single" w:sz="4" w:space="0" w:color="000000"/>
          <w:bottom w:val="single" w:sz="8" w:space="0" w:color="A5A5A5"/>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5665"/>
      </w:tblGrid>
      <w:tr w:rsidR="00DD4BA1" w14:paraId="01D494CB" w14:textId="77777777" w:rsidTr="00FC52A8">
        <w:trPr>
          <w:tblHeader/>
        </w:trPr>
        <w:tc>
          <w:tcPr>
            <w:tcW w:w="3685" w:type="dxa"/>
            <w:tcBorders>
              <w:right w:val="single" w:sz="4" w:space="0" w:color="70AD47"/>
            </w:tcBorders>
            <w:shd w:val="clear" w:color="auto" w:fill="002060"/>
          </w:tcPr>
          <w:p w14:paraId="1F770311" w14:textId="77777777" w:rsidR="00DD4BA1" w:rsidRDefault="00DD4BA1" w:rsidP="00B2414A">
            <w:pPr>
              <w:pStyle w:val="TableHead"/>
            </w:pPr>
            <w:r>
              <w:t>Definition</w:t>
            </w:r>
          </w:p>
        </w:tc>
        <w:tc>
          <w:tcPr>
            <w:tcW w:w="5665" w:type="dxa"/>
            <w:tcBorders>
              <w:left w:val="single" w:sz="4" w:space="0" w:color="70AD47"/>
            </w:tcBorders>
            <w:shd w:val="clear" w:color="auto" w:fill="002060"/>
          </w:tcPr>
          <w:p w14:paraId="33BD578D" w14:textId="77777777" w:rsidR="00DD4BA1" w:rsidRDefault="00DD4BA1" w:rsidP="00B2414A">
            <w:pPr>
              <w:pStyle w:val="TableHead"/>
            </w:pPr>
            <w:r>
              <w:t>Frequently Asked Questions (FAQs)</w:t>
            </w:r>
          </w:p>
        </w:tc>
      </w:tr>
      <w:tr w:rsidR="00DD4BA1" w14:paraId="04C7A135" w14:textId="77777777" w:rsidTr="00FC52A8">
        <w:tc>
          <w:tcPr>
            <w:tcW w:w="3685" w:type="dxa"/>
          </w:tcPr>
          <w:p w14:paraId="535CD7AF" w14:textId="77777777" w:rsidR="00DD4BA1" w:rsidRDefault="00DD4BA1" w:rsidP="00A103C8">
            <w:pPr>
              <w:pStyle w:val="tablebulletslevelone"/>
            </w:pPr>
            <w:r>
              <w:t>Use the person’s age at the time of the arrest.</w:t>
            </w:r>
          </w:p>
          <w:p w14:paraId="2BCB274D" w14:textId="77777777" w:rsidR="00DD4BA1" w:rsidRDefault="00DD4BA1" w:rsidP="00A103C8">
            <w:pPr>
              <w:pStyle w:val="tablebulletslevelone"/>
            </w:pPr>
            <w:r>
              <w:t xml:space="preserve">Do </w:t>
            </w:r>
            <w:r>
              <w:rPr>
                <w:b/>
              </w:rPr>
              <w:t>not</w:t>
            </w:r>
            <w:r>
              <w:t xml:space="preserve"> use the person’s age at the time the alleged offense was committed.</w:t>
            </w:r>
          </w:p>
          <w:p w14:paraId="2BAF6D78" w14:textId="77777777" w:rsidR="00DD4BA1" w:rsidRDefault="00DD4BA1" w:rsidP="00A103C8">
            <w:pPr>
              <w:pStyle w:val="tablebulletslevelone"/>
            </w:pPr>
            <w:r>
              <w:t>If the arrest date is unknown, use the person’s age at the time you are completing the PSA.</w:t>
            </w:r>
          </w:p>
          <w:p w14:paraId="04076CCA" w14:textId="77777777" w:rsidR="00DD4BA1" w:rsidRPr="00B2414A" w:rsidRDefault="00DD4BA1" w:rsidP="00AD673A">
            <w:pPr>
              <w:pStyle w:val="Heading2"/>
            </w:pPr>
            <w:r w:rsidRPr="00B2414A">
              <w:t>Scoring</w:t>
            </w:r>
          </w:p>
          <w:p w14:paraId="2BE52CD8" w14:textId="77777777" w:rsidR="00DD4BA1" w:rsidRDefault="00DD4BA1" w:rsidP="00A103C8">
            <w:pPr>
              <w:pStyle w:val="tablebulletslevelone"/>
            </w:pPr>
            <w:r>
              <w:t>Determine whether the person’s age is 23 or older, 21 or 22, or 20 or younger.</w:t>
            </w:r>
          </w:p>
        </w:tc>
        <w:tc>
          <w:tcPr>
            <w:tcW w:w="5665" w:type="dxa"/>
          </w:tcPr>
          <w:p w14:paraId="11F61B6F" w14:textId="77777777" w:rsidR="00DD4BA1" w:rsidRDefault="00DD4BA1" w:rsidP="00A103C8">
            <w:pPr>
              <w:pStyle w:val="TableBody"/>
            </w:pPr>
            <w:r>
              <w:rPr>
                <w:b/>
              </w:rPr>
              <w:t xml:space="preserve">Q: </w:t>
            </w:r>
            <w:r>
              <w:t>What date of birth (DOB) should I use if the person has been arrested multiple times and has used multiple DOBs?</w:t>
            </w:r>
          </w:p>
          <w:p w14:paraId="2987374F" w14:textId="77777777" w:rsidR="00DD4BA1" w:rsidRDefault="00DD4BA1" w:rsidP="00A103C8">
            <w:pPr>
              <w:pStyle w:val="TableBody"/>
            </w:pPr>
            <w:r>
              <w:rPr>
                <w:b/>
              </w:rPr>
              <w:t xml:space="preserve">A: </w:t>
            </w:r>
            <w:r>
              <w:t>Typically, the default DOB is the one listed in the jail’s data system. But if there is compelling evidence that a person has an incorrect DOB documented in the jail system for the current arrest, use the DOB from the statewide and/or NCIC criminal history that appears to be most accurate. For instance, consider a scenario in which records show two DOB for a person—suggesting that they are either 21 (DOB in jail system) or 31 (DOB in statewide/NCIC criminal history)—and they have an adult arrest record spanning 10 years. This would be compelling evidence that age 31 is more accurate and that you should use the corresponding DOB.</w:t>
            </w:r>
          </w:p>
          <w:p w14:paraId="43619E33" w14:textId="77777777" w:rsidR="00DD4BA1" w:rsidRDefault="00DD4BA1" w:rsidP="00A103C8">
            <w:pPr>
              <w:pStyle w:val="TableBody"/>
            </w:pPr>
          </w:p>
          <w:p w14:paraId="12FEF5D4" w14:textId="77777777" w:rsidR="00DD4BA1" w:rsidRDefault="00DD4BA1" w:rsidP="00A103C8">
            <w:pPr>
              <w:pStyle w:val="TableBody"/>
            </w:pPr>
            <w:r>
              <w:rPr>
                <w:b/>
              </w:rPr>
              <w:t xml:space="preserve">Q: </w:t>
            </w:r>
            <w:r>
              <w:t>What age do I use when a PSA has been completed, the person is arrested again on the same case (such as after failing to appear), and the person is older than they were when they were first arrested?</w:t>
            </w:r>
          </w:p>
          <w:p w14:paraId="5A297DB0" w14:textId="77777777" w:rsidR="00DD4BA1" w:rsidRDefault="00DD4BA1" w:rsidP="00A103C8">
            <w:pPr>
              <w:pStyle w:val="TableBody"/>
            </w:pPr>
            <w:r>
              <w:rPr>
                <w:b/>
              </w:rPr>
              <w:t xml:space="preserve">A: </w:t>
            </w:r>
            <w:r>
              <w:t>The person’s age at the time of the current arrest is always used to calculate the factor Age at Current Arrest. This is true even when someone has been arrested multiple times for the same case. For example, a person was 22 years old at the time of the initial arrest. They then failed to appear at a pretrial court appearance and a warrant was issued. When they were arrested on the FTA warrant, they were 23 years old. Because the person was 23 at the time of the current arrest for which the warrant was issued (the FTA warrant), you would mark Age at Current Arrest as 23 or older.</w:t>
            </w:r>
          </w:p>
        </w:tc>
      </w:tr>
    </w:tbl>
    <w:p w14:paraId="798020AD" w14:textId="77777777" w:rsidR="00DD4BA1" w:rsidRDefault="00DD4BA1" w:rsidP="00DD4BA1">
      <w:pPr>
        <w:pBdr>
          <w:top w:val="nil"/>
          <w:left w:val="nil"/>
          <w:bottom w:val="nil"/>
          <w:right w:val="nil"/>
          <w:between w:val="nil"/>
        </w:pBdr>
        <w:spacing w:after="100" w:line="270" w:lineRule="auto"/>
        <w:rPr>
          <w:color w:val="000000"/>
        </w:rPr>
      </w:pPr>
    </w:p>
    <w:p w14:paraId="4372966B" w14:textId="77777777" w:rsidR="00DD4BA1" w:rsidRDefault="00DD4BA1" w:rsidP="00DD4BA1">
      <w:pPr>
        <w:spacing w:after="100" w:line="260" w:lineRule="auto"/>
      </w:pPr>
      <w:r>
        <w:br w:type="page"/>
      </w:r>
    </w:p>
    <w:p w14:paraId="1E014D3B" w14:textId="77777777" w:rsidR="00DD4BA1" w:rsidRPr="00B2414A" w:rsidRDefault="00DD4BA1" w:rsidP="00B2414A">
      <w:pPr>
        <w:pStyle w:val="Heading1"/>
      </w:pPr>
      <w:bookmarkStart w:id="7" w:name="_heading=h.tyjcwt" w:colFirst="0" w:colLast="0"/>
      <w:bookmarkStart w:id="8" w:name="_Toc100071355"/>
      <w:bookmarkEnd w:id="7"/>
      <w:r w:rsidRPr="00B2414A">
        <w:lastRenderedPageBreak/>
        <w:t>Factor 2: Current Violent Offense</w:t>
      </w:r>
      <w:bookmarkEnd w:id="8"/>
    </w:p>
    <w:p w14:paraId="32FC996A" w14:textId="77777777" w:rsidR="00DD4BA1" w:rsidRDefault="00DD4BA1" w:rsidP="00DD4BA1">
      <w:pPr>
        <w:pBdr>
          <w:top w:val="nil"/>
          <w:left w:val="nil"/>
          <w:bottom w:val="nil"/>
          <w:right w:val="nil"/>
          <w:between w:val="nil"/>
        </w:pBdr>
        <w:spacing w:after="240" w:line="270" w:lineRule="auto"/>
        <w:rPr>
          <w:b/>
          <w:color w:val="000000"/>
        </w:rPr>
      </w:pPr>
      <w:r>
        <w:rPr>
          <w:b/>
          <w:color w:val="000000"/>
        </w:rPr>
        <w:t>Data Source(s): ______________</w:t>
      </w:r>
    </w:p>
    <w:tbl>
      <w:tblPr>
        <w:tblW w:w="9350" w:type="dxa"/>
        <w:tblBorders>
          <w:top w:val="single" w:sz="8" w:space="0" w:color="A5A5A5"/>
          <w:left w:val="single" w:sz="4" w:space="0" w:color="000000"/>
          <w:bottom w:val="single" w:sz="8" w:space="0" w:color="A5A5A5"/>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5665"/>
      </w:tblGrid>
      <w:tr w:rsidR="00DD4BA1" w14:paraId="73C2C158" w14:textId="77777777" w:rsidTr="00FC52A8">
        <w:trPr>
          <w:tblHeader/>
        </w:trPr>
        <w:tc>
          <w:tcPr>
            <w:tcW w:w="3685" w:type="dxa"/>
            <w:tcBorders>
              <w:right w:val="single" w:sz="4" w:space="0" w:color="70AD47"/>
            </w:tcBorders>
            <w:shd w:val="clear" w:color="auto" w:fill="002060"/>
          </w:tcPr>
          <w:p w14:paraId="1F964E34" w14:textId="77777777" w:rsidR="00DD4BA1" w:rsidRDefault="00DD4BA1" w:rsidP="00B2414A">
            <w:pPr>
              <w:pStyle w:val="TableHead"/>
            </w:pPr>
            <w:r>
              <w:t>Definition</w:t>
            </w:r>
          </w:p>
        </w:tc>
        <w:tc>
          <w:tcPr>
            <w:tcW w:w="5665" w:type="dxa"/>
            <w:tcBorders>
              <w:left w:val="single" w:sz="4" w:space="0" w:color="70AD47"/>
            </w:tcBorders>
            <w:shd w:val="clear" w:color="auto" w:fill="002060"/>
          </w:tcPr>
          <w:p w14:paraId="6442DA6F" w14:textId="77777777" w:rsidR="00DD4BA1" w:rsidRDefault="00DD4BA1" w:rsidP="00B2414A">
            <w:pPr>
              <w:pStyle w:val="TableHead"/>
            </w:pPr>
            <w:r>
              <w:t>Frequently Asked Questions (FAQs)</w:t>
            </w:r>
          </w:p>
        </w:tc>
      </w:tr>
      <w:tr w:rsidR="00DD4BA1" w14:paraId="5EDD2BD2" w14:textId="77777777" w:rsidTr="00FC52A8">
        <w:tc>
          <w:tcPr>
            <w:tcW w:w="3685" w:type="dxa"/>
          </w:tcPr>
          <w:p w14:paraId="118031D3" w14:textId="77777777" w:rsidR="00DD4BA1" w:rsidRDefault="00DD4BA1" w:rsidP="00A103C8">
            <w:pPr>
              <w:pStyle w:val="tablebulletslevelone"/>
            </w:pPr>
            <w:r>
              <w:t>Check to see whether any of the person’s current charges are included in your jurisdiction’s PSA Violent Offense List.</w:t>
            </w:r>
          </w:p>
          <w:p w14:paraId="7E043202" w14:textId="77777777" w:rsidR="00DD4BA1" w:rsidRDefault="00DD4BA1" w:rsidP="00A103C8">
            <w:pPr>
              <w:pStyle w:val="tablebulletslevelone"/>
            </w:pPr>
            <w:r>
              <w:t>For purposes of the PSA, an offense is categorized as violent if a person causes or attempts to cause physical injury through use of force or violence against another person.</w:t>
            </w:r>
          </w:p>
          <w:p w14:paraId="01FF6613" w14:textId="77777777" w:rsidR="00DD4BA1" w:rsidRDefault="00DD4BA1" w:rsidP="00A103C8">
            <w:pPr>
              <w:pStyle w:val="tablebulletslevelone"/>
            </w:pPr>
            <w:r>
              <w:t xml:space="preserve">A charge of attempt (such as attempted murder or attempted robbery), being an accessory before the fact, being party to a crime, solicitation, or conspiracy to commit any of these offenses </w:t>
            </w:r>
            <w:r>
              <w:rPr>
                <w:b/>
              </w:rPr>
              <w:t>is</w:t>
            </w:r>
            <w:r>
              <w:t xml:space="preserve"> considered a violent offense.</w:t>
            </w:r>
          </w:p>
          <w:p w14:paraId="3DFB9762" w14:textId="77777777" w:rsidR="00DD4BA1" w:rsidRDefault="00DD4BA1" w:rsidP="00A103C8">
            <w:pPr>
              <w:pStyle w:val="tablebulletslevelone"/>
            </w:pPr>
            <w:r>
              <w:t xml:space="preserve">Negligence and recklessness offenses are usually </w:t>
            </w:r>
            <w:r>
              <w:rPr>
                <w:b/>
              </w:rPr>
              <w:t>not</w:t>
            </w:r>
            <w:r>
              <w:t xml:space="preserve"> categorized as violent offenses.</w:t>
            </w:r>
          </w:p>
          <w:p w14:paraId="77EB5215" w14:textId="77777777" w:rsidR="00DD4BA1" w:rsidRDefault="00DD4BA1" w:rsidP="00A103C8">
            <w:pPr>
              <w:pStyle w:val="tablebulletslevelone"/>
            </w:pPr>
            <w:r>
              <w:t>Use the charge at the time of booking. However, if the charge is subsequently modified (for example, after prosecutorial review), the PSA should be updated.</w:t>
            </w:r>
          </w:p>
          <w:p w14:paraId="19B8EB6A" w14:textId="77777777" w:rsidR="00DD4BA1" w:rsidRDefault="00DD4BA1" w:rsidP="00FC52A8">
            <w:pPr>
              <w:pStyle w:val="Heading2"/>
            </w:pPr>
            <w:r>
              <w:t>Scoring</w:t>
            </w:r>
          </w:p>
          <w:p w14:paraId="662BF7AE" w14:textId="77777777" w:rsidR="00DD4BA1" w:rsidRDefault="00DD4BA1" w:rsidP="00A103C8">
            <w:pPr>
              <w:pStyle w:val="tablebulletslevelone"/>
            </w:pPr>
            <w:r>
              <w:t xml:space="preserve">If any of the current charges are considered violent, mark this factor as </w:t>
            </w:r>
            <w:r>
              <w:rPr>
                <w:b/>
              </w:rPr>
              <w:t>Yes.</w:t>
            </w:r>
          </w:p>
        </w:tc>
        <w:tc>
          <w:tcPr>
            <w:tcW w:w="5665" w:type="dxa"/>
          </w:tcPr>
          <w:p w14:paraId="3FC9B490" w14:textId="77777777" w:rsidR="00DD4BA1" w:rsidRDefault="00DD4BA1" w:rsidP="00A103C8">
            <w:pPr>
              <w:pStyle w:val="TableBody"/>
            </w:pPr>
            <w:r>
              <w:rPr>
                <w:b/>
              </w:rPr>
              <w:t xml:space="preserve">Q: </w:t>
            </w:r>
            <w:r>
              <w:t>When a person is arrested on multiple charges, which charge do I look at to determine whether there is a Current Violent Offense?</w:t>
            </w:r>
          </w:p>
          <w:p w14:paraId="3820D6CC" w14:textId="77777777" w:rsidR="00DD4BA1" w:rsidRDefault="00DD4BA1" w:rsidP="00A103C8">
            <w:pPr>
              <w:pStyle w:val="TableBody"/>
              <w:rPr>
                <w:b/>
              </w:rPr>
            </w:pPr>
            <w:r>
              <w:rPr>
                <w:b/>
              </w:rPr>
              <w:t xml:space="preserve">A: </w:t>
            </w:r>
            <w:r>
              <w:t xml:space="preserve">For this factor, look at </w:t>
            </w:r>
            <w:r>
              <w:rPr>
                <w:b/>
              </w:rPr>
              <w:t>all</w:t>
            </w:r>
            <w:r>
              <w:t xml:space="preserve"> of the charges related to the current arrest. If any charge related to the current arrest is considered violent per your jurisdiction’s PSA Violent Offense List, mark this factor as Yes. This is true even when the most serious charge (a felony) is nonviolent but a less serious charge (a misdemeanor) is violent. The charge level (misdemeanor or felony) and the charge class are not considered when scoring this factor.</w:t>
            </w:r>
          </w:p>
        </w:tc>
      </w:tr>
    </w:tbl>
    <w:p w14:paraId="65E6FDB7" w14:textId="77777777" w:rsidR="00DD4BA1" w:rsidRDefault="00DD4BA1" w:rsidP="00DD4BA1">
      <w:pPr>
        <w:pBdr>
          <w:top w:val="nil"/>
          <w:left w:val="nil"/>
          <w:bottom w:val="nil"/>
          <w:right w:val="nil"/>
          <w:between w:val="nil"/>
        </w:pBdr>
        <w:spacing w:after="100" w:line="270" w:lineRule="auto"/>
        <w:rPr>
          <w:color w:val="000000"/>
        </w:rPr>
      </w:pPr>
    </w:p>
    <w:p w14:paraId="69A03AEE" w14:textId="77777777" w:rsidR="00DD4BA1" w:rsidRDefault="00DD4BA1" w:rsidP="00DD4BA1">
      <w:pPr>
        <w:spacing w:after="100" w:line="260" w:lineRule="auto"/>
      </w:pPr>
      <w:r>
        <w:br w:type="page"/>
      </w:r>
    </w:p>
    <w:p w14:paraId="4301BA6A" w14:textId="77777777" w:rsidR="00DD4BA1" w:rsidRPr="00B2414A" w:rsidRDefault="00DD4BA1" w:rsidP="00B2414A">
      <w:pPr>
        <w:pStyle w:val="Heading1"/>
      </w:pPr>
      <w:bookmarkStart w:id="9" w:name="_heading=h.3dy6vkm" w:colFirst="0" w:colLast="0"/>
      <w:bookmarkStart w:id="10" w:name="_Toc100071356"/>
      <w:bookmarkEnd w:id="9"/>
      <w:r w:rsidRPr="00B2414A">
        <w:lastRenderedPageBreak/>
        <w:t>Factor 2a: Current Violent Offense and 20 Years Old or Younger</w:t>
      </w:r>
      <w:bookmarkEnd w:id="10"/>
    </w:p>
    <w:p w14:paraId="34595B4F" w14:textId="77777777" w:rsidR="00DD4BA1" w:rsidRDefault="00DD4BA1" w:rsidP="00B2414A">
      <w:pPr>
        <w:pStyle w:val="MainTextSpace"/>
      </w:pPr>
    </w:p>
    <w:tbl>
      <w:tblPr>
        <w:tblW w:w="9350" w:type="dxa"/>
        <w:tblBorders>
          <w:top w:val="single" w:sz="8" w:space="0" w:color="A5A5A5"/>
          <w:left w:val="single" w:sz="4" w:space="0" w:color="000000"/>
          <w:bottom w:val="single" w:sz="8" w:space="0" w:color="A5A5A5"/>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5665"/>
      </w:tblGrid>
      <w:tr w:rsidR="00DD4BA1" w14:paraId="1B0E7E6B" w14:textId="77777777" w:rsidTr="00FC52A8">
        <w:trPr>
          <w:tblHeader/>
        </w:trPr>
        <w:tc>
          <w:tcPr>
            <w:tcW w:w="3685" w:type="dxa"/>
            <w:tcBorders>
              <w:right w:val="single" w:sz="4" w:space="0" w:color="70AD47"/>
            </w:tcBorders>
            <w:shd w:val="clear" w:color="auto" w:fill="002060"/>
          </w:tcPr>
          <w:p w14:paraId="6310C7A1" w14:textId="77777777" w:rsidR="00DD4BA1" w:rsidRDefault="00DD4BA1" w:rsidP="00B2414A">
            <w:pPr>
              <w:pStyle w:val="TableHead"/>
            </w:pPr>
            <w:r>
              <w:t>Definition</w:t>
            </w:r>
          </w:p>
        </w:tc>
        <w:tc>
          <w:tcPr>
            <w:tcW w:w="5665" w:type="dxa"/>
            <w:tcBorders>
              <w:left w:val="single" w:sz="4" w:space="0" w:color="70AD47"/>
            </w:tcBorders>
            <w:shd w:val="clear" w:color="auto" w:fill="002060"/>
          </w:tcPr>
          <w:p w14:paraId="15C754D7" w14:textId="77777777" w:rsidR="00DD4BA1" w:rsidRDefault="00DD4BA1" w:rsidP="00B2414A">
            <w:pPr>
              <w:pStyle w:val="TableHead"/>
            </w:pPr>
            <w:r>
              <w:t>Frequently Asked Questions (FAQs)</w:t>
            </w:r>
          </w:p>
        </w:tc>
      </w:tr>
      <w:tr w:rsidR="00DD4BA1" w14:paraId="5B88ED67" w14:textId="77777777" w:rsidTr="00FC52A8">
        <w:tc>
          <w:tcPr>
            <w:tcW w:w="3685" w:type="dxa"/>
          </w:tcPr>
          <w:p w14:paraId="16149F32" w14:textId="77777777" w:rsidR="00DD4BA1" w:rsidRDefault="00DD4BA1" w:rsidP="00A103C8">
            <w:pPr>
              <w:pStyle w:val="tablebulletslevelone"/>
            </w:pPr>
            <w:r>
              <w:t xml:space="preserve">If one or more current charges is violent (as defined in factor 2) </w:t>
            </w:r>
            <w:r>
              <w:rPr>
                <w:b/>
              </w:rPr>
              <w:t>and</w:t>
            </w:r>
            <w:r>
              <w:t xml:space="preserve"> the person was 20 years of age or younger at the time of the arrest (as defined in factor 1), mark this factor as </w:t>
            </w:r>
            <w:r>
              <w:rPr>
                <w:b/>
              </w:rPr>
              <w:t>Yes</w:t>
            </w:r>
            <w:r>
              <w:t>.</w:t>
            </w:r>
          </w:p>
          <w:p w14:paraId="302C1037" w14:textId="77777777" w:rsidR="00DD4BA1" w:rsidRDefault="00DD4BA1" w:rsidP="00A103C8">
            <w:pPr>
              <w:pStyle w:val="tablebulletslevelone"/>
            </w:pPr>
            <w:r>
              <w:t>This subfactor is usually autoscored based on responses for the Age at Current Arrest and Current Violent Offense factors.</w:t>
            </w:r>
          </w:p>
        </w:tc>
        <w:tc>
          <w:tcPr>
            <w:tcW w:w="5665" w:type="dxa"/>
          </w:tcPr>
          <w:p w14:paraId="2576D9A9" w14:textId="77777777" w:rsidR="00DD4BA1" w:rsidRDefault="00DD4BA1" w:rsidP="00A103C8">
            <w:pPr>
              <w:pStyle w:val="TableBody"/>
            </w:pPr>
          </w:p>
        </w:tc>
      </w:tr>
    </w:tbl>
    <w:p w14:paraId="715A9C60" w14:textId="77777777" w:rsidR="00DD4BA1" w:rsidRDefault="00DD4BA1" w:rsidP="00DD4BA1">
      <w:pPr>
        <w:spacing w:after="100" w:line="260" w:lineRule="auto"/>
      </w:pPr>
      <w:r>
        <w:br w:type="page"/>
      </w:r>
    </w:p>
    <w:p w14:paraId="3C2E0E67" w14:textId="77777777" w:rsidR="00DD4BA1" w:rsidRDefault="00DD4BA1" w:rsidP="00DD4BA1">
      <w:pPr>
        <w:pStyle w:val="Heading1"/>
      </w:pPr>
      <w:bookmarkStart w:id="11" w:name="_heading=h.1t3h5sf" w:colFirst="0" w:colLast="0"/>
      <w:bookmarkStart w:id="12" w:name="_Toc100071357"/>
      <w:bookmarkEnd w:id="11"/>
      <w:r>
        <w:lastRenderedPageBreak/>
        <w:t>Factor 3: Pending Charge at the Time of the Arrest</w:t>
      </w:r>
      <w:bookmarkEnd w:id="12"/>
    </w:p>
    <w:p w14:paraId="2383CF4A" w14:textId="77777777" w:rsidR="00B2414A" w:rsidRPr="003934C3" w:rsidRDefault="00B2414A" w:rsidP="00B2414A">
      <w:pPr>
        <w:pStyle w:val="MainTextSpace"/>
        <w:rPr>
          <w:b/>
          <w:bCs/>
        </w:rPr>
      </w:pPr>
      <w:r w:rsidRPr="003934C3">
        <w:rPr>
          <w:b/>
          <w:bCs/>
        </w:rPr>
        <w:t>Data Source(s): ______________</w:t>
      </w:r>
    </w:p>
    <w:tbl>
      <w:tblPr>
        <w:tblW w:w="9350" w:type="dxa"/>
        <w:tblBorders>
          <w:top w:val="single" w:sz="8" w:space="0" w:color="A5A5A5"/>
          <w:left w:val="single" w:sz="4" w:space="0" w:color="000000"/>
          <w:bottom w:val="single" w:sz="8" w:space="0" w:color="A5A5A5"/>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5665"/>
      </w:tblGrid>
      <w:tr w:rsidR="00DD4BA1" w14:paraId="6170B81C" w14:textId="77777777" w:rsidTr="00FC52A8">
        <w:trPr>
          <w:tblHeader/>
        </w:trPr>
        <w:tc>
          <w:tcPr>
            <w:tcW w:w="3685" w:type="dxa"/>
            <w:tcBorders>
              <w:right w:val="single" w:sz="4" w:space="0" w:color="70AD47"/>
            </w:tcBorders>
            <w:shd w:val="clear" w:color="auto" w:fill="002060"/>
          </w:tcPr>
          <w:p w14:paraId="5A982E4D" w14:textId="77777777" w:rsidR="00DD4BA1" w:rsidRDefault="00DD4BA1" w:rsidP="00B2414A">
            <w:pPr>
              <w:pStyle w:val="TableHead"/>
            </w:pPr>
            <w:r>
              <w:t>Definition</w:t>
            </w:r>
          </w:p>
        </w:tc>
        <w:tc>
          <w:tcPr>
            <w:tcW w:w="5665" w:type="dxa"/>
            <w:tcBorders>
              <w:left w:val="single" w:sz="4" w:space="0" w:color="70AD47"/>
            </w:tcBorders>
            <w:shd w:val="clear" w:color="auto" w:fill="002060"/>
          </w:tcPr>
          <w:p w14:paraId="1B3528F3" w14:textId="77777777" w:rsidR="00DD4BA1" w:rsidRDefault="00DD4BA1" w:rsidP="00B2414A">
            <w:pPr>
              <w:pStyle w:val="TableHead"/>
            </w:pPr>
            <w:r>
              <w:t>Frequently Asked Questions (FAQs)</w:t>
            </w:r>
          </w:p>
        </w:tc>
      </w:tr>
      <w:tr w:rsidR="00DD4BA1" w14:paraId="2A89F62B" w14:textId="77777777" w:rsidTr="00FC52A8">
        <w:tc>
          <w:tcPr>
            <w:tcW w:w="3685" w:type="dxa"/>
          </w:tcPr>
          <w:p w14:paraId="3C53EF1A" w14:textId="77777777" w:rsidR="00DD4BA1" w:rsidRDefault="00DD4BA1" w:rsidP="00A103C8">
            <w:pPr>
              <w:pStyle w:val="tablebulletslevelone"/>
            </w:pPr>
            <w:r>
              <w:t xml:space="preserve">A pending charge is any charge that has not reached final disposition at the time of the current arrest. </w:t>
            </w:r>
          </w:p>
          <w:p w14:paraId="7B08859E" w14:textId="77777777" w:rsidR="00DD4BA1" w:rsidRDefault="00DD4BA1" w:rsidP="00A103C8">
            <w:pPr>
              <w:pStyle w:val="tablebulletslevelone"/>
            </w:pPr>
            <w:r>
              <w:t>It is a pending charge if any of the following are true:</w:t>
            </w:r>
          </w:p>
          <w:p w14:paraId="10FB020D" w14:textId="77777777" w:rsidR="00DD4BA1" w:rsidRDefault="00DD4BA1" w:rsidP="00A103C8">
            <w:pPr>
              <w:pStyle w:val="tablebulletsleveltwo"/>
            </w:pPr>
            <w:r>
              <w:t xml:space="preserve">The person has a pre-disposition court appearance (any hearing after arrest and prior to disposition) scheduled for the charge; </w:t>
            </w:r>
          </w:p>
          <w:p w14:paraId="088A65BF" w14:textId="77777777" w:rsidR="00DD4BA1" w:rsidRDefault="00DD4BA1" w:rsidP="00A103C8">
            <w:pPr>
              <w:pStyle w:val="tablebulletsleveltwo"/>
            </w:pPr>
            <w:r>
              <w:t>The charge has not been disposed of due to the person’s failure to appear pending trial or sentencing; or</w:t>
            </w:r>
          </w:p>
          <w:p w14:paraId="406E0CA1" w14:textId="77777777" w:rsidR="00DD4BA1" w:rsidRDefault="00DD4BA1" w:rsidP="00A103C8">
            <w:pPr>
              <w:pStyle w:val="tablebulletsleveltwo"/>
            </w:pPr>
            <w:r>
              <w:t>The case is in some form of deferred status.</w:t>
            </w:r>
            <w:r w:rsidRPr="00A103C8">
              <w:rPr>
                <w:b/>
                <w:bCs/>
              </w:rPr>
              <w:t xml:space="preserve"> [Consider inserting the specific names of your jurisdiction’s deferred status options.]</w:t>
            </w:r>
          </w:p>
          <w:p w14:paraId="58E757D3" w14:textId="77777777" w:rsidR="00DD4BA1" w:rsidRDefault="00DD4BA1" w:rsidP="00A103C8">
            <w:pPr>
              <w:pStyle w:val="tablebulletslevelone"/>
            </w:pPr>
            <w:r>
              <w:rPr>
                <w:i/>
              </w:rPr>
              <w:t xml:space="preserve">Note: </w:t>
            </w:r>
            <w:r>
              <w:t xml:space="preserve">If the answer to </w:t>
            </w:r>
            <w:r>
              <w:rPr>
                <w:b/>
              </w:rPr>
              <w:t xml:space="preserve">all </w:t>
            </w:r>
            <w:r>
              <w:t>of the following questions is Yes, a person has a pending charge:</w:t>
            </w:r>
          </w:p>
          <w:p w14:paraId="3E21239A" w14:textId="77777777" w:rsidR="00DD4BA1" w:rsidRDefault="00DD4BA1" w:rsidP="00A103C8">
            <w:pPr>
              <w:pStyle w:val="tablebulletsleveltwo"/>
            </w:pPr>
            <w:r>
              <w:t>Was the person previously cited or arrested for an offense?</w:t>
            </w:r>
          </w:p>
          <w:p w14:paraId="185F9EA5" w14:textId="77777777" w:rsidR="00DD4BA1" w:rsidRDefault="00DD4BA1" w:rsidP="00A103C8">
            <w:pPr>
              <w:pStyle w:val="tablebulletsleveltwo"/>
            </w:pPr>
            <w:r>
              <w:t>Was the person released and allowed to stay in the community pending trial?</w:t>
            </w:r>
          </w:p>
          <w:p w14:paraId="2755CF4C" w14:textId="77777777" w:rsidR="00DD4BA1" w:rsidRDefault="00DD4BA1" w:rsidP="00A103C8">
            <w:pPr>
              <w:pStyle w:val="tablebulletsleveltwo"/>
            </w:pPr>
            <w:r>
              <w:t>Did the person allegedly commit the current offense while released and in the community pending trial for the first charge?</w:t>
            </w:r>
          </w:p>
          <w:p w14:paraId="21FE68A8" w14:textId="77777777" w:rsidR="00DD4BA1" w:rsidRDefault="00DD4BA1" w:rsidP="00FC52A8">
            <w:pPr>
              <w:pStyle w:val="Heading2"/>
            </w:pPr>
            <w:r>
              <w:t>Scoring</w:t>
            </w:r>
          </w:p>
          <w:p w14:paraId="3801CAE6" w14:textId="77777777" w:rsidR="00DD4BA1" w:rsidRDefault="00DD4BA1" w:rsidP="00A103C8">
            <w:pPr>
              <w:pStyle w:val="tablebulletslevelone"/>
            </w:pPr>
            <w:r>
              <w:t xml:space="preserve">If the person has a pending charge, mark this factor as </w:t>
            </w:r>
            <w:r>
              <w:rPr>
                <w:b/>
              </w:rPr>
              <w:t>Yes</w:t>
            </w:r>
            <w:r>
              <w:t>.</w:t>
            </w:r>
          </w:p>
        </w:tc>
        <w:tc>
          <w:tcPr>
            <w:tcW w:w="5665" w:type="dxa"/>
          </w:tcPr>
          <w:p w14:paraId="37D1B98A" w14:textId="77777777" w:rsidR="00DD4BA1" w:rsidRDefault="00DD4BA1" w:rsidP="00A103C8">
            <w:pPr>
              <w:pStyle w:val="TableBody"/>
            </w:pPr>
            <w:r>
              <w:rPr>
                <w:b/>
              </w:rPr>
              <w:t xml:space="preserve">Q: </w:t>
            </w:r>
            <w:r>
              <w:t>While being detained for the current charge, the person was served with a warrant they had no knowledge about due to lack of notification. Is that considered a pending charge?</w:t>
            </w:r>
          </w:p>
          <w:p w14:paraId="03C7B0C3" w14:textId="77777777" w:rsidR="00DD4BA1" w:rsidRDefault="00DD4BA1" w:rsidP="00A103C8">
            <w:pPr>
              <w:pStyle w:val="TableBody"/>
            </w:pPr>
            <w:r>
              <w:rPr>
                <w:b/>
              </w:rPr>
              <w:t xml:space="preserve">A: </w:t>
            </w:r>
            <w:r>
              <w:t>No. If the person has not previously gone through a release process or been served with a summons for the charge, it is not considered a pending charge.</w:t>
            </w:r>
          </w:p>
          <w:p w14:paraId="1ED4E336" w14:textId="77777777" w:rsidR="00DD4BA1" w:rsidRDefault="00DD4BA1" w:rsidP="00A103C8">
            <w:pPr>
              <w:pStyle w:val="TableBody"/>
            </w:pPr>
          </w:p>
          <w:p w14:paraId="681D5533" w14:textId="77777777" w:rsidR="00DD4BA1" w:rsidRDefault="00DD4BA1" w:rsidP="00A103C8">
            <w:pPr>
              <w:pStyle w:val="TableBody"/>
            </w:pPr>
            <w:r>
              <w:rPr>
                <w:b/>
              </w:rPr>
              <w:t xml:space="preserve">Q: </w:t>
            </w:r>
            <w:r>
              <w:t>We have NCIC data but it is unclear whether the out-of-state offense is a pending charge or a prior conviction. How do we score this?</w:t>
            </w:r>
          </w:p>
          <w:p w14:paraId="485A636A" w14:textId="77777777" w:rsidR="00DD4BA1" w:rsidRDefault="00DD4BA1" w:rsidP="00A103C8">
            <w:pPr>
              <w:pStyle w:val="TableBody"/>
            </w:pPr>
            <w:r>
              <w:rPr>
                <w:b/>
              </w:rPr>
              <w:t xml:space="preserve">A: </w:t>
            </w:r>
            <w:r>
              <w:t xml:space="preserve">If you are unable to determine the status of a charge on the out-of-state record, do not include it when scoring the PSA. If it is a recent or serious charge, you may choose to report it to the court and attempt to follow up with the court of record. </w:t>
            </w:r>
          </w:p>
          <w:p w14:paraId="4EA4A3D6" w14:textId="77777777" w:rsidR="00DD4BA1" w:rsidRDefault="00DD4BA1" w:rsidP="00A103C8">
            <w:pPr>
              <w:pStyle w:val="TableBody"/>
            </w:pPr>
          </w:p>
          <w:p w14:paraId="1D2E29C7" w14:textId="77777777" w:rsidR="00DD4BA1" w:rsidRDefault="00DD4BA1" w:rsidP="00A103C8">
            <w:pPr>
              <w:pStyle w:val="TableBody"/>
            </w:pPr>
            <w:r>
              <w:rPr>
                <w:b/>
              </w:rPr>
              <w:t xml:space="preserve">Q: </w:t>
            </w:r>
            <w:r>
              <w:t>If a person was arrested and booked into jail, and then was referred to and is participating in a pre-charge diversion program, does that count as a pending charge?</w:t>
            </w:r>
          </w:p>
          <w:p w14:paraId="0F057364" w14:textId="77777777" w:rsidR="00DD4BA1" w:rsidRDefault="00DD4BA1" w:rsidP="00A103C8">
            <w:pPr>
              <w:pStyle w:val="TableBody"/>
            </w:pPr>
            <w:r>
              <w:rPr>
                <w:b/>
              </w:rPr>
              <w:t xml:space="preserve">A: </w:t>
            </w:r>
            <w:r>
              <w:t xml:space="preserve">No. With pre-charge diversion, criminal charges are not filed with the court, so this would not be considered a pending charge. </w:t>
            </w:r>
          </w:p>
          <w:p w14:paraId="5F286A5D" w14:textId="77777777" w:rsidR="00DD4BA1" w:rsidRDefault="00DD4BA1" w:rsidP="00A103C8">
            <w:pPr>
              <w:pStyle w:val="TableBody"/>
            </w:pPr>
          </w:p>
          <w:p w14:paraId="2C8563FA" w14:textId="77777777" w:rsidR="00DD4BA1" w:rsidRDefault="00DD4BA1" w:rsidP="00A103C8">
            <w:pPr>
              <w:pStyle w:val="TableBody"/>
            </w:pPr>
            <w:r>
              <w:rPr>
                <w:b/>
              </w:rPr>
              <w:t xml:space="preserve">Q: </w:t>
            </w:r>
            <w:r>
              <w:t xml:space="preserve">If someone is arrested on a warrant for failing to appear for a pre-disposition court appearance, does the underlying charge count as a pending charge for the purposes of scoring the PSA? </w:t>
            </w:r>
          </w:p>
          <w:p w14:paraId="145940C5" w14:textId="77777777" w:rsidR="00DD4BA1" w:rsidRDefault="00DD4BA1" w:rsidP="00A103C8">
            <w:pPr>
              <w:pStyle w:val="TableBody"/>
            </w:pPr>
            <w:r>
              <w:rPr>
                <w:b/>
              </w:rPr>
              <w:t xml:space="preserve">A: </w:t>
            </w:r>
            <w:r>
              <w:t xml:space="preserve">It depends. If the person is being charged with a new criminal offense of failure to appear (sometimes charged as “bail jumping” in some states), then the answer is </w:t>
            </w:r>
            <w:r>
              <w:rPr>
                <w:i/>
              </w:rPr>
              <w:t>yes</w:t>
            </w:r>
            <w:r>
              <w:t>. The PSA would be scored as follows:</w:t>
            </w:r>
          </w:p>
          <w:p w14:paraId="3F167BF7" w14:textId="77777777" w:rsidR="00DD4BA1" w:rsidRDefault="00DD4BA1" w:rsidP="00FC52A8">
            <w:pPr>
              <w:pBdr>
                <w:top w:val="nil"/>
                <w:left w:val="nil"/>
                <w:bottom w:val="nil"/>
                <w:right w:val="nil"/>
                <w:between w:val="nil"/>
              </w:pBdr>
              <w:tabs>
                <w:tab w:val="left" w:pos="360"/>
                <w:tab w:val="right" w:pos="432"/>
              </w:tabs>
              <w:spacing w:after="60" w:line="276" w:lineRule="auto"/>
              <w:ind w:left="216" w:hanging="216"/>
              <w:rPr>
                <w:color w:val="000000"/>
              </w:rPr>
            </w:pPr>
            <w:r>
              <w:rPr>
                <w:color w:val="000000"/>
              </w:rPr>
              <w:t>1.</w:t>
            </w:r>
            <w:r>
              <w:rPr>
                <w:color w:val="000000"/>
              </w:rPr>
              <w:tab/>
              <w:t>The new charge (of bail jumping) serves as the current offense.</w:t>
            </w:r>
          </w:p>
          <w:p w14:paraId="5C9E879F" w14:textId="77777777" w:rsidR="00DD4BA1" w:rsidRDefault="00DD4BA1" w:rsidP="00FC52A8">
            <w:pPr>
              <w:pBdr>
                <w:top w:val="nil"/>
                <w:left w:val="nil"/>
                <w:bottom w:val="nil"/>
                <w:right w:val="nil"/>
                <w:between w:val="nil"/>
              </w:pBdr>
              <w:tabs>
                <w:tab w:val="left" w:pos="360"/>
                <w:tab w:val="right" w:pos="432"/>
              </w:tabs>
              <w:spacing w:after="60" w:line="276" w:lineRule="auto"/>
              <w:ind w:left="216" w:hanging="216"/>
              <w:rPr>
                <w:color w:val="000000"/>
              </w:rPr>
            </w:pPr>
            <w:r>
              <w:rPr>
                <w:color w:val="000000"/>
              </w:rPr>
              <w:t>2.</w:t>
            </w:r>
            <w:r>
              <w:rPr>
                <w:color w:val="000000"/>
              </w:rPr>
              <w:tab/>
              <w:t>The original underlying offense is now a pending charge.</w:t>
            </w:r>
          </w:p>
          <w:p w14:paraId="48C5D73F" w14:textId="77777777" w:rsidR="00DD4BA1" w:rsidRDefault="00DD4BA1" w:rsidP="00FC52A8">
            <w:pPr>
              <w:pBdr>
                <w:top w:val="nil"/>
                <w:left w:val="nil"/>
                <w:bottom w:val="nil"/>
                <w:right w:val="nil"/>
                <w:between w:val="nil"/>
              </w:pBdr>
              <w:tabs>
                <w:tab w:val="left" w:pos="360"/>
                <w:tab w:val="right" w:pos="432"/>
              </w:tabs>
              <w:spacing w:after="120" w:line="276" w:lineRule="auto"/>
              <w:ind w:left="216" w:hanging="216"/>
              <w:rPr>
                <w:color w:val="000000"/>
              </w:rPr>
            </w:pPr>
            <w:r>
              <w:rPr>
                <w:color w:val="000000"/>
              </w:rPr>
              <w:t>3.</w:t>
            </w:r>
            <w:r>
              <w:rPr>
                <w:color w:val="000000"/>
              </w:rPr>
              <w:tab/>
              <w:t>The failure to appear (that led to this person’s new charge) is counted as a failure to appear when scoring factor 7.</w:t>
            </w:r>
          </w:p>
          <w:p w14:paraId="68DF68B9" w14:textId="77777777" w:rsidR="00DD4BA1" w:rsidRDefault="00DD4BA1" w:rsidP="00A103C8">
            <w:pPr>
              <w:pStyle w:val="TableBody"/>
            </w:pPr>
            <w:r>
              <w:rPr>
                <w:i/>
              </w:rPr>
              <w:lastRenderedPageBreak/>
              <w:t>Note:</w:t>
            </w:r>
            <w:r>
              <w:t xml:space="preserve"> If the original underlying offense was a violent offense, Factor 2 is no longer scored as Yes. The fact that the underlying offense was a violent offense should be communicated to the judicial officer when the new PSA results are presented.</w:t>
            </w:r>
          </w:p>
          <w:p w14:paraId="5DC15D11" w14:textId="77777777" w:rsidR="00DD4BA1" w:rsidRDefault="00DD4BA1" w:rsidP="00A103C8">
            <w:pPr>
              <w:pStyle w:val="TableBody"/>
            </w:pPr>
            <w:r>
              <w:rPr>
                <w:b/>
                <w:i/>
              </w:rPr>
              <w:t xml:space="preserve">However, </w:t>
            </w:r>
            <w:r>
              <w:t xml:space="preserve">if the person is </w:t>
            </w:r>
            <w:r>
              <w:rPr>
                <w:i/>
              </w:rPr>
              <w:t>not</w:t>
            </w:r>
            <w:r>
              <w:t xml:space="preserve"> being charged with a new criminal offense of failure to appear, then the answer is </w:t>
            </w:r>
            <w:r>
              <w:rPr>
                <w:i/>
              </w:rPr>
              <w:t>no</w:t>
            </w:r>
            <w:r>
              <w:t>. The PSA would be scored as follows:</w:t>
            </w:r>
          </w:p>
          <w:p w14:paraId="5E1C498A" w14:textId="77777777" w:rsidR="00DD4BA1" w:rsidRDefault="00DD4BA1" w:rsidP="00FC52A8">
            <w:pPr>
              <w:pBdr>
                <w:top w:val="nil"/>
                <w:left w:val="nil"/>
                <w:bottom w:val="nil"/>
                <w:right w:val="nil"/>
                <w:between w:val="nil"/>
              </w:pBdr>
              <w:tabs>
                <w:tab w:val="left" w:pos="360"/>
                <w:tab w:val="right" w:pos="432"/>
              </w:tabs>
              <w:spacing w:after="60" w:line="276" w:lineRule="auto"/>
              <w:ind w:left="216" w:hanging="216"/>
              <w:rPr>
                <w:color w:val="000000"/>
              </w:rPr>
            </w:pPr>
            <w:r>
              <w:rPr>
                <w:color w:val="000000"/>
              </w:rPr>
              <w:t>1.</w:t>
            </w:r>
            <w:r>
              <w:rPr>
                <w:color w:val="000000"/>
              </w:rPr>
              <w:tab/>
              <w:t xml:space="preserve">The scoring from the original PSA for all factors except factors 7 or 8, and possibly factor 1, would remain the same if there was no new information that would result in scoring these other factors differently. </w:t>
            </w:r>
          </w:p>
          <w:p w14:paraId="7E3E1057" w14:textId="77777777" w:rsidR="00DD4BA1" w:rsidRDefault="00DD4BA1" w:rsidP="00FC52A8">
            <w:pPr>
              <w:pBdr>
                <w:top w:val="nil"/>
                <w:left w:val="nil"/>
                <w:bottom w:val="nil"/>
                <w:right w:val="nil"/>
                <w:between w:val="nil"/>
              </w:pBdr>
              <w:tabs>
                <w:tab w:val="left" w:pos="360"/>
                <w:tab w:val="right" w:pos="432"/>
              </w:tabs>
              <w:spacing w:after="120" w:line="276" w:lineRule="auto"/>
              <w:ind w:left="216" w:hanging="216"/>
              <w:rPr>
                <w:color w:val="000000"/>
              </w:rPr>
            </w:pPr>
            <w:r>
              <w:rPr>
                <w:color w:val="000000"/>
              </w:rPr>
              <w:t>2.</w:t>
            </w:r>
            <w:r>
              <w:rPr>
                <w:color w:val="000000"/>
              </w:rPr>
              <w:tab/>
              <w:t xml:space="preserve">Depending on the person’s history of previous FTA warrants, the response to factor 7 may change because of the new failure to appear warrant. As a result, the person’s PSA scores on the FTA Scale and the NCA Scale may increase. </w:t>
            </w:r>
          </w:p>
          <w:p w14:paraId="2E05D850" w14:textId="77777777" w:rsidR="00DD4BA1" w:rsidRDefault="00DD4BA1" w:rsidP="00A103C8">
            <w:pPr>
              <w:pStyle w:val="TableBody"/>
            </w:pPr>
            <w:r>
              <w:rPr>
                <w:i/>
              </w:rPr>
              <w:t>Note:</w:t>
            </w:r>
            <w:r>
              <w:t xml:space="preserve"> The fact that the person’s PSA scores have changed solely because of a new FTA warrant should be communicated to the judicial officer when the new PSA results are presented. Some jurisdictions refer to the updated PSA scoring results as a “new PSA,” whereas other jurisdictions refer to it as an “updated PSA.”  </w:t>
            </w:r>
          </w:p>
          <w:p w14:paraId="31482E89" w14:textId="77777777" w:rsidR="00DD4BA1" w:rsidRDefault="00DD4BA1" w:rsidP="00A103C8">
            <w:pPr>
              <w:pStyle w:val="TableBody"/>
            </w:pPr>
          </w:p>
          <w:p w14:paraId="392DFD76" w14:textId="77777777" w:rsidR="00DD4BA1" w:rsidRDefault="00DD4BA1" w:rsidP="00A103C8">
            <w:pPr>
              <w:pStyle w:val="TableBody"/>
            </w:pPr>
            <w:r>
              <w:rPr>
                <w:b/>
              </w:rPr>
              <w:t xml:space="preserve">Q: </w:t>
            </w:r>
            <w:r>
              <w:t>The person was previously arrested and is participating in a deferred prosecution program. Now that they have been arrested again, it is likely that the deferred prosecution will be converted to a conviction. Is this considered a prior conviction or a pending charge?</w:t>
            </w:r>
          </w:p>
          <w:p w14:paraId="34615A7B" w14:textId="77777777" w:rsidR="00DD4BA1" w:rsidRDefault="00DD4BA1" w:rsidP="00A103C8">
            <w:pPr>
              <w:pStyle w:val="TableBody"/>
            </w:pPr>
            <w:r>
              <w:rPr>
                <w:b/>
              </w:rPr>
              <w:t xml:space="preserve">A: </w:t>
            </w:r>
            <w:r>
              <w:t>It remains a pending charge since the deferred status has not yet been converted.</w:t>
            </w:r>
          </w:p>
          <w:p w14:paraId="15D8E685" w14:textId="77777777" w:rsidR="00DD4BA1" w:rsidRDefault="00DD4BA1" w:rsidP="00A103C8">
            <w:pPr>
              <w:pStyle w:val="TableBody"/>
            </w:pPr>
          </w:p>
          <w:p w14:paraId="3D103AE2" w14:textId="77777777" w:rsidR="00DD4BA1" w:rsidRDefault="00DD4BA1" w:rsidP="00A103C8">
            <w:pPr>
              <w:pStyle w:val="TableBody"/>
            </w:pPr>
            <w:r>
              <w:rPr>
                <w:b/>
              </w:rPr>
              <w:t xml:space="preserve">Q: </w:t>
            </w:r>
            <w:r>
              <w:t xml:space="preserve">If a person’s case is on hold pending competency to stand trial determination, is that still considered a pending charge for purposes of scoring the PSA? </w:t>
            </w:r>
          </w:p>
          <w:p w14:paraId="32AFBD47" w14:textId="77777777" w:rsidR="00DD4BA1" w:rsidRDefault="00DD4BA1" w:rsidP="00A103C8">
            <w:pPr>
              <w:pStyle w:val="TableBody"/>
            </w:pPr>
            <w:r>
              <w:rPr>
                <w:b/>
              </w:rPr>
              <w:t>A:</w:t>
            </w:r>
            <w:r>
              <w:t xml:space="preserve"> Yes. The charge has not been disposed of, and the case is similar to being in a deferred status. </w:t>
            </w:r>
          </w:p>
          <w:p w14:paraId="1AFD2A15" w14:textId="77777777" w:rsidR="00DD4BA1" w:rsidRDefault="00DD4BA1" w:rsidP="00A103C8">
            <w:pPr>
              <w:pStyle w:val="TableBody"/>
            </w:pPr>
          </w:p>
          <w:p w14:paraId="7D442092" w14:textId="77777777" w:rsidR="00DD4BA1" w:rsidRDefault="00DD4BA1" w:rsidP="00A103C8">
            <w:pPr>
              <w:pStyle w:val="TableBody"/>
            </w:pPr>
            <w:r>
              <w:rPr>
                <w:b/>
              </w:rPr>
              <w:t>Q:</w:t>
            </w:r>
            <w:r>
              <w:t xml:space="preserve"> A person has pled guilty but has not yet been sentenced, and they are arrested and booked into jail for a new offense. </w:t>
            </w:r>
            <w:r>
              <w:lastRenderedPageBreak/>
              <w:t xml:space="preserve">Do I count the charge they pled guilty to as a pending charge or as a conviction when scoring the PSA? </w:t>
            </w:r>
          </w:p>
          <w:p w14:paraId="39A2830A" w14:textId="77777777" w:rsidR="00DD4BA1" w:rsidRDefault="00DD4BA1" w:rsidP="00A103C8">
            <w:pPr>
              <w:pStyle w:val="TableBody"/>
            </w:pPr>
            <w:r>
              <w:rPr>
                <w:b/>
              </w:rPr>
              <w:t>A:</w:t>
            </w:r>
            <w:r>
              <w:t xml:space="preserve"> It depends. If your jurisdiction considers the finding of guilt or guilty plea as case disposition, then you count the original charges as a conviction. If your jurisdiction considers sentencing as case disposition, then you count the charge they pled guilty to as a pending charge. </w:t>
            </w:r>
          </w:p>
        </w:tc>
      </w:tr>
    </w:tbl>
    <w:p w14:paraId="16DA2092" w14:textId="77777777" w:rsidR="00DD4BA1" w:rsidRPr="00B2414A" w:rsidRDefault="00DD4BA1" w:rsidP="00B2414A">
      <w:r w:rsidRPr="00B2414A">
        <w:lastRenderedPageBreak/>
        <w:br w:type="page"/>
      </w:r>
    </w:p>
    <w:p w14:paraId="49204560" w14:textId="77777777" w:rsidR="00DD4BA1" w:rsidRDefault="00DD4BA1" w:rsidP="00DD4BA1">
      <w:pPr>
        <w:pStyle w:val="Heading1"/>
      </w:pPr>
      <w:bookmarkStart w:id="13" w:name="_heading=h.4d34og8" w:colFirst="0" w:colLast="0"/>
      <w:bookmarkStart w:id="14" w:name="_Toc100071358"/>
      <w:bookmarkEnd w:id="13"/>
      <w:r>
        <w:lastRenderedPageBreak/>
        <w:t>Factors 4 and 5: Prior Misdemeanor and Felony Convictions</w:t>
      </w:r>
      <w:bookmarkEnd w:id="14"/>
    </w:p>
    <w:p w14:paraId="2B12A1C2" w14:textId="77777777" w:rsidR="00B2414A" w:rsidRPr="003934C3" w:rsidRDefault="00B2414A" w:rsidP="00B2414A">
      <w:pPr>
        <w:pStyle w:val="MainTextSpace"/>
        <w:rPr>
          <w:b/>
          <w:bCs/>
        </w:rPr>
      </w:pPr>
      <w:r w:rsidRPr="003934C3">
        <w:rPr>
          <w:b/>
          <w:bCs/>
        </w:rPr>
        <w:t>Data Source(s): ______________</w:t>
      </w:r>
    </w:p>
    <w:tbl>
      <w:tblPr>
        <w:tblW w:w="9350" w:type="dxa"/>
        <w:tblBorders>
          <w:top w:val="single" w:sz="8" w:space="0" w:color="A5A5A5"/>
          <w:left w:val="single" w:sz="4" w:space="0" w:color="000000"/>
          <w:bottom w:val="single" w:sz="8" w:space="0" w:color="A5A5A5"/>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5665"/>
      </w:tblGrid>
      <w:tr w:rsidR="00DD4BA1" w14:paraId="4EA3543A" w14:textId="77777777" w:rsidTr="00FC52A8">
        <w:trPr>
          <w:tblHeader/>
        </w:trPr>
        <w:tc>
          <w:tcPr>
            <w:tcW w:w="3685" w:type="dxa"/>
            <w:tcBorders>
              <w:right w:val="single" w:sz="4" w:space="0" w:color="70AD47"/>
            </w:tcBorders>
            <w:shd w:val="clear" w:color="auto" w:fill="002060"/>
          </w:tcPr>
          <w:p w14:paraId="35424DEA" w14:textId="77777777" w:rsidR="00DD4BA1" w:rsidRDefault="00DD4BA1" w:rsidP="00B2414A">
            <w:pPr>
              <w:pStyle w:val="TableHead"/>
            </w:pPr>
            <w:r>
              <w:t>Definition</w:t>
            </w:r>
          </w:p>
        </w:tc>
        <w:tc>
          <w:tcPr>
            <w:tcW w:w="5665" w:type="dxa"/>
            <w:tcBorders>
              <w:left w:val="single" w:sz="4" w:space="0" w:color="70AD47"/>
            </w:tcBorders>
            <w:shd w:val="clear" w:color="auto" w:fill="002060"/>
          </w:tcPr>
          <w:p w14:paraId="4BB3DFF3" w14:textId="77777777" w:rsidR="00DD4BA1" w:rsidRDefault="00DD4BA1" w:rsidP="00B2414A">
            <w:pPr>
              <w:pStyle w:val="TableHead"/>
            </w:pPr>
            <w:r>
              <w:t>Frequently Asked Questions (FAQs)</w:t>
            </w:r>
          </w:p>
        </w:tc>
      </w:tr>
      <w:tr w:rsidR="00DD4BA1" w14:paraId="741441BF" w14:textId="77777777" w:rsidTr="00FC52A8">
        <w:tc>
          <w:tcPr>
            <w:tcW w:w="3685" w:type="dxa"/>
          </w:tcPr>
          <w:p w14:paraId="6AE324F0" w14:textId="77777777" w:rsidR="00DD4BA1" w:rsidRDefault="00DD4BA1" w:rsidP="00A103C8">
            <w:pPr>
              <w:pStyle w:val="tablebulletslevelone"/>
            </w:pPr>
            <w:r>
              <w:t xml:space="preserve">The </w:t>
            </w:r>
            <w:r>
              <w:rPr>
                <w:b/>
              </w:rPr>
              <w:t>prior misdemeanor</w:t>
            </w:r>
            <w:r>
              <w:t xml:space="preserve"> conviction must be for a traffic or criminal offense defined by statute as a misdemeanor </w:t>
            </w:r>
            <w:r>
              <w:rPr>
                <w:b/>
              </w:rPr>
              <w:t>and</w:t>
            </w:r>
            <w:r>
              <w:t xml:space="preserve"> that carries a potential penalty of incarceration.</w:t>
            </w:r>
          </w:p>
          <w:p w14:paraId="270CEC4C" w14:textId="77777777" w:rsidR="00DD4BA1" w:rsidRDefault="00DD4BA1" w:rsidP="00A103C8">
            <w:pPr>
              <w:pStyle w:val="tablebulletslevelone"/>
            </w:pPr>
            <w:r>
              <w:t xml:space="preserve">The </w:t>
            </w:r>
            <w:r>
              <w:rPr>
                <w:b/>
              </w:rPr>
              <w:t>prior felony</w:t>
            </w:r>
            <w:r>
              <w:t xml:space="preserve"> conviction must be for a traffic or criminal offense defined by statute as a felony </w:t>
            </w:r>
            <w:r>
              <w:rPr>
                <w:b/>
              </w:rPr>
              <w:t>and</w:t>
            </w:r>
            <w:r>
              <w:t xml:space="preserve"> that carries a potential penalty of incarceration.</w:t>
            </w:r>
          </w:p>
          <w:p w14:paraId="35D1E2AC" w14:textId="77777777" w:rsidR="00DD4BA1" w:rsidRDefault="00DD4BA1" w:rsidP="00A103C8">
            <w:pPr>
              <w:pStyle w:val="tablebulletslevelone"/>
            </w:pPr>
            <w:r>
              <w:t>A conviction is an adjudication of guilt, whether by a guilty plea or a finding of guilt.</w:t>
            </w:r>
          </w:p>
          <w:p w14:paraId="4FF1A9C3" w14:textId="77777777" w:rsidR="00DD4BA1" w:rsidRDefault="00DD4BA1" w:rsidP="00A103C8">
            <w:pPr>
              <w:pStyle w:val="tablebulletslevelone"/>
            </w:pPr>
            <w:r>
              <w:t xml:space="preserve">You </w:t>
            </w:r>
            <w:r>
              <w:rPr>
                <w:b/>
              </w:rPr>
              <w:t>must</w:t>
            </w:r>
            <w:r>
              <w:t xml:space="preserve"> check the person’s out-of-state criminal history.</w:t>
            </w:r>
          </w:p>
          <w:p w14:paraId="050A9069" w14:textId="77777777" w:rsidR="00DD4BA1" w:rsidRDefault="00DD4BA1" w:rsidP="00A103C8">
            <w:pPr>
              <w:pStyle w:val="tablebulletslevelone"/>
            </w:pPr>
            <w:r>
              <w:t xml:space="preserve">Do </w:t>
            </w:r>
            <w:r>
              <w:rPr>
                <w:b/>
              </w:rPr>
              <w:t>not</w:t>
            </w:r>
            <w:r>
              <w:t xml:space="preserve"> count the following as a prior conviction:</w:t>
            </w:r>
          </w:p>
          <w:p w14:paraId="0152B536" w14:textId="77777777" w:rsidR="00DD4BA1" w:rsidRDefault="00DD4BA1" w:rsidP="00A103C8">
            <w:pPr>
              <w:pStyle w:val="tablebulletsleveltwo"/>
            </w:pPr>
            <w:r>
              <w:t>any case for which the person was found not guilty by reason of insanity; or</w:t>
            </w:r>
          </w:p>
          <w:p w14:paraId="5CFE7A69" w14:textId="77777777" w:rsidR="00DD4BA1" w:rsidRDefault="00DD4BA1" w:rsidP="00A103C8">
            <w:pPr>
              <w:pStyle w:val="tablebulletsleveltwo"/>
            </w:pPr>
            <w:r>
              <w:t>any case that was expunged or for which the conviction was overturned.</w:t>
            </w:r>
          </w:p>
          <w:p w14:paraId="29AAE4EA" w14:textId="77777777" w:rsidR="00DD4BA1" w:rsidRDefault="00DD4BA1" w:rsidP="00FC52A8">
            <w:pPr>
              <w:pStyle w:val="Heading2"/>
            </w:pPr>
            <w:r>
              <w:t>Scoring</w:t>
            </w:r>
          </w:p>
          <w:p w14:paraId="1C1CB0FD" w14:textId="77777777" w:rsidR="00DD4BA1" w:rsidRDefault="00DD4BA1" w:rsidP="00A103C8">
            <w:pPr>
              <w:pStyle w:val="tablebulletslevelone"/>
            </w:pPr>
            <w:r>
              <w:t xml:space="preserve">If the person has one or more </w:t>
            </w:r>
            <w:r>
              <w:rPr>
                <w:b/>
              </w:rPr>
              <w:t>prior misdemeanor convictions</w:t>
            </w:r>
            <w:r>
              <w:t xml:space="preserve">, mark factor 4 as </w:t>
            </w:r>
            <w:r>
              <w:rPr>
                <w:b/>
              </w:rPr>
              <w:t>Yes</w:t>
            </w:r>
            <w:r>
              <w:t xml:space="preserve">. </w:t>
            </w:r>
          </w:p>
          <w:p w14:paraId="13BE946F" w14:textId="77777777" w:rsidR="00DD4BA1" w:rsidRDefault="00DD4BA1" w:rsidP="00A103C8">
            <w:pPr>
              <w:pStyle w:val="tablebulletslevelone"/>
            </w:pPr>
            <w:r>
              <w:t xml:space="preserve">If the person has one or more </w:t>
            </w:r>
            <w:r>
              <w:rPr>
                <w:b/>
              </w:rPr>
              <w:t>prior felony convictions</w:t>
            </w:r>
            <w:r>
              <w:t xml:space="preserve">, mark factor 5 as </w:t>
            </w:r>
            <w:r>
              <w:rPr>
                <w:b/>
              </w:rPr>
              <w:t>Yes</w:t>
            </w:r>
            <w:r>
              <w:t>.</w:t>
            </w:r>
          </w:p>
        </w:tc>
        <w:tc>
          <w:tcPr>
            <w:tcW w:w="5665" w:type="dxa"/>
          </w:tcPr>
          <w:p w14:paraId="1151147C" w14:textId="77777777" w:rsidR="00DD4BA1" w:rsidRDefault="00DD4BA1" w:rsidP="00A103C8">
            <w:pPr>
              <w:pStyle w:val="TableBody"/>
            </w:pPr>
            <w:r>
              <w:rPr>
                <w:b/>
              </w:rPr>
              <w:t xml:space="preserve">Q: </w:t>
            </w:r>
            <w:r>
              <w:t>The person was previously charged with a misdemeanor or felony and successfully completed a deferred prosecution program. Is that considered a prior conviction?</w:t>
            </w:r>
          </w:p>
          <w:p w14:paraId="6E8B8853" w14:textId="77777777" w:rsidR="00DD4BA1" w:rsidRDefault="00DD4BA1" w:rsidP="00A103C8">
            <w:pPr>
              <w:pStyle w:val="TableBody"/>
            </w:pPr>
            <w:r>
              <w:rPr>
                <w:b/>
              </w:rPr>
              <w:t xml:space="preserve">A: </w:t>
            </w:r>
            <w:r>
              <w:t>No. Provided that the prior charge was dismissed upon successful completion of the program, it is not considered a prior conviction.</w:t>
            </w:r>
          </w:p>
          <w:p w14:paraId="79F9C997" w14:textId="77777777" w:rsidR="00DD4BA1" w:rsidRDefault="00DD4BA1" w:rsidP="00A103C8">
            <w:pPr>
              <w:pStyle w:val="TableBody"/>
            </w:pPr>
          </w:p>
          <w:p w14:paraId="7EB7A65B" w14:textId="77777777" w:rsidR="00DD4BA1" w:rsidRDefault="00DD4BA1" w:rsidP="00A103C8">
            <w:pPr>
              <w:pStyle w:val="TableBody"/>
            </w:pPr>
            <w:r>
              <w:rPr>
                <w:b/>
              </w:rPr>
              <w:t xml:space="preserve">Q: </w:t>
            </w:r>
            <w:r>
              <w:t>Does a suspended sentence count as a conviction?</w:t>
            </w:r>
          </w:p>
          <w:p w14:paraId="6675DEAD" w14:textId="77777777" w:rsidR="00DD4BA1" w:rsidRDefault="00DD4BA1" w:rsidP="00A103C8">
            <w:pPr>
              <w:pStyle w:val="TableBody"/>
            </w:pPr>
            <w:r>
              <w:rPr>
                <w:b/>
              </w:rPr>
              <w:t xml:space="preserve">A: </w:t>
            </w:r>
            <w:r>
              <w:t>Yes, but as with any conviction, it counts only if the offense carried a potential penalty of incarceration.</w:t>
            </w:r>
          </w:p>
          <w:p w14:paraId="52EC8929" w14:textId="77777777" w:rsidR="00DD4BA1" w:rsidRDefault="00DD4BA1" w:rsidP="00A103C8">
            <w:pPr>
              <w:pStyle w:val="TableBody"/>
            </w:pPr>
          </w:p>
          <w:p w14:paraId="5756BC77" w14:textId="77777777" w:rsidR="00DD4BA1" w:rsidRDefault="00DD4BA1" w:rsidP="00A103C8">
            <w:pPr>
              <w:pStyle w:val="TableBody"/>
            </w:pPr>
            <w:r>
              <w:rPr>
                <w:b/>
              </w:rPr>
              <w:t xml:space="preserve">Q: </w:t>
            </w:r>
            <w:r>
              <w:t>The person was previously convicted of a misdemeanor [or felony] offense that is no longer defined in the same way by state statute; instead, the misdemeanor is now considered an infraction [or the felony is now considered a misdemeanor]. Is this still considered a prior misdemeanor [or felony] conviction?</w:t>
            </w:r>
          </w:p>
          <w:p w14:paraId="35890184" w14:textId="77777777" w:rsidR="00DD4BA1" w:rsidRDefault="00DD4BA1" w:rsidP="00A103C8">
            <w:pPr>
              <w:pStyle w:val="TableBody"/>
            </w:pPr>
            <w:r>
              <w:rPr>
                <w:b/>
              </w:rPr>
              <w:t xml:space="preserve">A: </w:t>
            </w:r>
            <w:r>
              <w:t xml:space="preserve">Yes. The status of the conviction as a misdemeanor [or felony] is determined according to the date of the conviction, regardless of any subsequent classification changes. </w:t>
            </w:r>
          </w:p>
          <w:p w14:paraId="640BE816" w14:textId="77777777" w:rsidR="00DD4BA1" w:rsidRDefault="00DD4BA1" w:rsidP="00A103C8">
            <w:pPr>
              <w:pStyle w:val="TableBody"/>
            </w:pPr>
          </w:p>
          <w:p w14:paraId="37D38A9B" w14:textId="77777777" w:rsidR="00DD4BA1" w:rsidRDefault="00DD4BA1" w:rsidP="00A103C8">
            <w:pPr>
              <w:pStyle w:val="TableBody"/>
            </w:pPr>
            <w:r>
              <w:rPr>
                <w:b/>
              </w:rPr>
              <w:t xml:space="preserve">Q: </w:t>
            </w:r>
            <w:r>
              <w:t xml:space="preserve">The person was previously convicted of a felony offense. In the same case, they were also convicted of a misdemeanor offense. Does this count as just a prior felony conviction or does it count as both a prior felony conviction and a prior misdemeanor conviction? </w:t>
            </w:r>
          </w:p>
          <w:p w14:paraId="49792464" w14:textId="77777777" w:rsidR="00DD4BA1" w:rsidRDefault="00DD4BA1" w:rsidP="00A103C8">
            <w:pPr>
              <w:pStyle w:val="TableBody"/>
            </w:pPr>
            <w:r>
              <w:rPr>
                <w:b/>
              </w:rPr>
              <w:t>A:</w:t>
            </w:r>
            <w:r>
              <w:t xml:space="preserve"> Convictions are scored on each prior charge, not prior cases. Score this person as having both a prior felony conviction and a prior misdemeanor conviction.</w:t>
            </w:r>
          </w:p>
          <w:p w14:paraId="4775E020" w14:textId="77777777" w:rsidR="00DD4BA1" w:rsidRDefault="00DD4BA1" w:rsidP="00A103C8">
            <w:pPr>
              <w:pStyle w:val="TableBody"/>
            </w:pPr>
          </w:p>
          <w:p w14:paraId="102416A0" w14:textId="77777777" w:rsidR="00DD4BA1" w:rsidRDefault="00DD4BA1" w:rsidP="00A103C8">
            <w:pPr>
              <w:pStyle w:val="TableBody"/>
            </w:pPr>
            <w:r>
              <w:rPr>
                <w:b/>
              </w:rPr>
              <w:t xml:space="preserve">Q: </w:t>
            </w:r>
            <w:r>
              <w:t xml:space="preserve">An out-of-state record shows a conviction for an offense, but it does not indicate whether it is a misdemeanor or a felony. How should I count it? </w:t>
            </w:r>
          </w:p>
          <w:p w14:paraId="5384BA49" w14:textId="77777777" w:rsidR="00DD4BA1" w:rsidRDefault="00DD4BA1" w:rsidP="00A103C8">
            <w:pPr>
              <w:pStyle w:val="TableBody"/>
            </w:pPr>
            <w:r>
              <w:rPr>
                <w:b/>
              </w:rPr>
              <w:t xml:space="preserve">A: </w:t>
            </w:r>
            <w:r>
              <w:t xml:space="preserve">Most state statutes are available online and can be quickly accessed. If the specific code section is provided and the statutes are online for the state in question, you can easily </w:t>
            </w:r>
            <w:r>
              <w:lastRenderedPageBreak/>
              <w:t xml:space="preserve">determine whether the conviction was for a misdemeanor or felony. If a general code section is provided and a conviction under that code section can be for either a misdemeanor or felony, the conviction should be counted as a misdemeanor. If no code section is provided or you cannot find the code section for that state online, count the conviction as a misdemeanor </w:t>
            </w:r>
            <w:r>
              <w:rPr>
                <w:b/>
              </w:rPr>
              <w:t>unless and only if</w:t>
            </w:r>
            <w:r>
              <w:t xml:space="preserve"> there is no doubt that the conviction would have been a felony if it had been a conviction in your state.</w:t>
            </w:r>
          </w:p>
          <w:p w14:paraId="25EB6B45" w14:textId="77777777" w:rsidR="00DD4BA1" w:rsidRDefault="00DD4BA1" w:rsidP="00A103C8">
            <w:pPr>
              <w:pStyle w:val="TableBody"/>
            </w:pPr>
          </w:p>
          <w:p w14:paraId="537F0D5B" w14:textId="77777777" w:rsidR="00DD4BA1" w:rsidRDefault="00DD4BA1" w:rsidP="00A103C8">
            <w:pPr>
              <w:pStyle w:val="TableBody"/>
            </w:pPr>
            <w:r>
              <w:rPr>
                <w:b/>
              </w:rPr>
              <w:t xml:space="preserve">Q: </w:t>
            </w:r>
            <w:r>
              <w:t xml:space="preserve">Our state recently raised the age of adult criminal responsibility from 16 to 18. The person charged (who is now older than 18) has an adult criminal conviction from when she was 17 years old. Do we count this prior criminal conviction even though she would be charged as a juvenile today? </w:t>
            </w:r>
          </w:p>
          <w:p w14:paraId="4C304D5A" w14:textId="77777777" w:rsidR="00DD4BA1" w:rsidRDefault="00DD4BA1" w:rsidP="00A103C8">
            <w:pPr>
              <w:pStyle w:val="TableBody"/>
              <w:rPr>
                <w:b/>
              </w:rPr>
            </w:pPr>
            <w:r>
              <w:rPr>
                <w:b/>
              </w:rPr>
              <w:t xml:space="preserve">A: </w:t>
            </w:r>
            <w:r>
              <w:t>Yes. This conviction counts for the PSA. It was an adult conviction then, so it counts as such for the PSA.</w:t>
            </w:r>
          </w:p>
        </w:tc>
      </w:tr>
    </w:tbl>
    <w:p w14:paraId="3A1A08B5" w14:textId="77777777" w:rsidR="00DD4BA1" w:rsidRDefault="00DD4BA1" w:rsidP="00DD4BA1">
      <w:pPr>
        <w:spacing w:after="100" w:line="260" w:lineRule="auto"/>
      </w:pPr>
      <w:r>
        <w:lastRenderedPageBreak/>
        <w:br w:type="page"/>
      </w:r>
    </w:p>
    <w:p w14:paraId="13CCEBB6" w14:textId="77777777" w:rsidR="00DD4BA1" w:rsidRDefault="00DD4BA1" w:rsidP="00DD4BA1">
      <w:pPr>
        <w:pStyle w:val="Heading1"/>
      </w:pPr>
      <w:bookmarkStart w:id="15" w:name="_heading=h.2s8eyo1" w:colFirst="0" w:colLast="0"/>
      <w:bookmarkStart w:id="16" w:name="_Toc100071359"/>
      <w:bookmarkEnd w:id="15"/>
      <w:r>
        <w:lastRenderedPageBreak/>
        <w:t>Factor 5a: Prior Conviction</w:t>
      </w:r>
      <w:bookmarkEnd w:id="16"/>
    </w:p>
    <w:p w14:paraId="377B646F" w14:textId="77777777" w:rsidR="00DD4BA1" w:rsidRDefault="00DD4BA1" w:rsidP="00B2414A">
      <w:pPr>
        <w:pStyle w:val="MainTextSpace"/>
      </w:pPr>
    </w:p>
    <w:tbl>
      <w:tblPr>
        <w:tblW w:w="9350" w:type="dxa"/>
        <w:tblBorders>
          <w:top w:val="single" w:sz="8" w:space="0" w:color="A5A5A5"/>
          <w:left w:val="single" w:sz="4" w:space="0" w:color="000000"/>
          <w:bottom w:val="single" w:sz="8" w:space="0" w:color="A5A5A5"/>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5665"/>
      </w:tblGrid>
      <w:tr w:rsidR="00DD4BA1" w14:paraId="772E369A" w14:textId="77777777" w:rsidTr="00FC52A8">
        <w:trPr>
          <w:tblHeader/>
        </w:trPr>
        <w:tc>
          <w:tcPr>
            <w:tcW w:w="3685" w:type="dxa"/>
            <w:tcBorders>
              <w:right w:val="single" w:sz="4" w:space="0" w:color="70AD47"/>
            </w:tcBorders>
            <w:shd w:val="clear" w:color="auto" w:fill="002060"/>
          </w:tcPr>
          <w:p w14:paraId="13C8BC76" w14:textId="77777777" w:rsidR="00DD4BA1" w:rsidRDefault="00DD4BA1" w:rsidP="00B2414A">
            <w:pPr>
              <w:pStyle w:val="TableHead"/>
            </w:pPr>
            <w:r>
              <w:t>Definition</w:t>
            </w:r>
          </w:p>
        </w:tc>
        <w:tc>
          <w:tcPr>
            <w:tcW w:w="5665" w:type="dxa"/>
            <w:tcBorders>
              <w:left w:val="single" w:sz="4" w:space="0" w:color="70AD47"/>
            </w:tcBorders>
            <w:shd w:val="clear" w:color="auto" w:fill="002060"/>
          </w:tcPr>
          <w:p w14:paraId="16F2AEF2" w14:textId="77777777" w:rsidR="00DD4BA1" w:rsidRDefault="00DD4BA1" w:rsidP="00B2414A">
            <w:pPr>
              <w:pStyle w:val="TableHead"/>
            </w:pPr>
            <w:r>
              <w:t>Frequently Asked Questions (FAQs)</w:t>
            </w:r>
          </w:p>
        </w:tc>
      </w:tr>
      <w:tr w:rsidR="00DD4BA1" w14:paraId="5D587D9D" w14:textId="77777777" w:rsidTr="00FC52A8">
        <w:tc>
          <w:tcPr>
            <w:tcW w:w="3685" w:type="dxa"/>
          </w:tcPr>
          <w:p w14:paraId="42F1B718" w14:textId="77777777" w:rsidR="00DD4BA1" w:rsidRDefault="00DD4BA1" w:rsidP="00A103C8">
            <w:pPr>
              <w:pStyle w:val="tablebulletslevelone"/>
            </w:pPr>
            <w:r>
              <w:t xml:space="preserve">If the person has a prior misdemeanor conviction as defined in factor 4 </w:t>
            </w:r>
            <w:r>
              <w:rPr>
                <w:b/>
              </w:rPr>
              <w:t>or</w:t>
            </w:r>
            <w:r>
              <w:t xml:space="preserve"> a prior felony conviction as defined in factor 5, mark this factor as </w:t>
            </w:r>
            <w:r>
              <w:rPr>
                <w:b/>
              </w:rPr>
              <w:t>Yes</w:t>
            </w:r>
            <w:r>
              <w:t>.</w:t>
            </w:r>
          </w:p>
          <w:p w14:paraId="4E09E504" w14:textId="77777777" w:rsidR="00DD4BA1" w:rsidRDefault="00DD4BA1" w:rsidP="00A103C8">
            <w:pPr>
              <w:pStyle w:val="tablebulletslevelone"/>
            </w:pPr>
            <w:r>
              <w:t>This subfactor is usually autoscored based on responses for the Prior Misdemeanor and Felony Convictions factors.</w:t>
            </w:r>
          </w:p>
        </w:tc>
        <w:tc>
          <w:tcPr>
            <w:tcW w:w="5665" w:type="dxa"/>
          </w:tcPr>
          <w:p w14:paraId="6CA3A75D" w14:textId="77777777" w:rsidR="00DD4BA1" w:rsidRDefault="00DD4BA1" w:rsidP="00A103C8">
            <w:pPr>
              <w:pStyle w:val="TableBody"/>
            </w:pPr>
          </w:p>
        </w:tc>
      </w:tr>
    </w:tbl>
    <w:p w14:paraId="26D7E05B" w14:textId="77777777" w:rsidR="00DD4BA1" w:rsidRDefault="00DD4BA1" w:rsidP="00DD4BA1">
      <w:pPr>
        <w:pBdr>
          <w:top w:val="nil"/>
          <w:left w:val="nil"/>
          <w:bottom w:val="nil"/>
          <w:right w:val="nil"/>
          <w:between w:val="nil"/>
        </w:pBdr>
        <w:spacing w:after="100" w:line="270" w:lineRule="auto"/>
        <w:rPr>
          <w:color w:val="000000"/>
        </w:rPr>
      </w:pPr>
    </w:p>
    <w:p w14:paraId="42C6C140" w14:textId="77777777" w:rsidR="00DD4BA1" w:rsidRDefault="00DD4BA1" w:rsidP="00DD4BA1">
      <w:pPr>
        <w:spacing w:after="100" w:line="260" w:lineRule="auto"/>
      </w:pPr>
      <w:r>
        <w:br w:type="page"/>
      </w:r>
    </w:p>
    <w:p w14:paraId="5DF084F2" w14:textId="77777777" w:rsidR="00DD4BA1" w:rsidRDefault="00DD4BA1" w:rsidP="00DD4BA1">
      <w:pPr>
        <w:pStyle w:val="Heading1"/>
      </w:pPr>
      <w:bookmarkStart w:id="17" w:name="_heading=h.17dp8vu" w:colFirst="0" w:colLast="0"/>
      <w:bookmarkStart w:id="18" w:name="_Toc100071360"/>
      <w:bookmarkEnd w:id="17"/>
      <w:r>
        <w:lastRenderedPageBreak/>
        <w:t>Factor 6: Prior Violent Convictions</w:t>
      </w:r>
      <w:bookmarkEnd w:id="18"/>
    </w:p>
    <w:p w14:paraId="047C6C7F" w14:textId="77777777" w:rsidR="00B2414A" w:rsidRPr="003934C3" w:rsidRDefault="00B2414A" w:rsidP="00B2414A">
      <w:pPr>
        <w:pStyle w:val="MainTextSpace"/>
        <w:rPr>
          <w:b/>
          <w:bCs/>
        </w:rPr>
      </w:pPr>
      <w:r w:rsidRPr="003934C3">
        <w:rPr>
          <w:b/>
          <w:bCs/>
        </w:rPr>
        <w:t>Data Source(s): ______________</w:t>
      </w:r>
    </w:p>
    <w:tbl>
      <w:tblPr>
        <w:tblW w:w="9350" w:type="dxa"/>
        <w:tblBorders>
          <w:top w:val="single" w:sz="8" w:space="0" w:color="A5A5A5"/>
          <w:left w:val="single" w:sz="4" w:space="0" w:color="000000"/>
          <w:bottom w:val="single" w:sz="8" w:space="0" w:color="A5A5A5"/>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55"/>
        <w:gridCol w:w="5395"/>
      </w:tblGrid>
      <w:tr w:rsidR="00DD4BA1" w14:paraId="689FCD54" w14:textId="77777777" w:rsidTr="00FC52A8">
        <w:trPr>
          <w:tblHeader/>
        </w:trPr>
        <w:tc>
          <w:tcPr>
            <w:tcW w:w="3955" w:type="dxa"/>
            <w:tcBorders>
              <w:right w:val="single" w:sz="4" w:space="0" w:color="70AD47"/>
            </w:tcBorders>
            <w:shd w:val="clear" w:color="auto" w:fill="002060"/>
          </w:tcPr>
          <w:p w14:paraId="1935A146" w14:textId="77777777" w:rsidR="00DD4BA1" w:rsidRDefault="00DD4BA1" w:rsidP="00B2414A">
            <w:pPr>
              <w:pStyle w:val="TableHead"/>
            </w:pPr>
            <w:r>
              <w:t>Definition</w:t>
            </w:r>
          </w:p>
        </w:tc>
        <w:tc>
          <w:tcPr>
            <w:tcW w:w="5395" w:type="dxa"/>
            <w:tcBorders>
              <w:left w:val="single" w:sz="4" w:space="0" w:color="70AD47"/>
            </w:tcBorders>
            <w:shd w:val="clear" w:color="auto" w:fill="002060"/>
          </w:tcPr>
          <w:p w14:paraId="3978C163" w14:textId="77777777" w:rsidR="00DD4BA1" w:rsidRDefault="00DD4BA1" w:rsidP="00B2414A">
            <w:pPr>
              <w:pStyle w:val="TableHead"/>
            </w:pPr>
            <w:r>
              <w:t>Frequently Asked Questions (FAQs)</w:t>
            </w:r>
          </w:p>
        </w:tc>
      </w:tr>
      <w:tr w:rsidR="00DD4BA1" w14:paraId="1214C00A" w14:textId="77777777" w:rsidTr="00FC52A8">
        <w:tc>
          <w:tcPr>
            <w:tcW w:w="3955" w:type="dxa"/>
          </w:tcPr>
          <w:p w14:paraId="5594EB9A" w14:textId="77777777" w:rsidR="00DD4BA1" w:rsidRDefault="00DD4BA1" w:rsidP="00A103C8">
            <w:pPr>
              <w:pStyle w:val="tablebulletslevelone"/>
            </w:pPr>
            <w:r>
              <w:t>An offense is categorized as violent for purposes of the PSA if a person causes or attempts to cause physical injury through use of force or violence against another person.</w:t>
            </w:r>
          </w:p>
          <w:p w14:paraId="4D1F55DA" w14:textId="77777777" w:rsidR="00DD4BA1" w:rsidRDefault="00DD4BA1" w:rsidP="00A103C8">
            <w:pPr>
              <w:pStyle w:val="tablebulletslevelone"/>
            </w:pPr>
            <w:r>
              <w:t>A charge of attempt (such as attempted murder or attempted robbery), being an accessory before the fact, being party to a crime, solicitation, or conspiracy to commit any of these offenses is considered a violent offense.</w:t>
            </w:r>
          </w:p>
          <w:p w14:paraId="462D5D0B" w14:textId="77777777" w:rsidR="00DD4BA1" w:rsidRDefault="00DD4BA1" w:rsidP="00A103C8">
            <w:pPr>
              <w:pStyle w:val="tablebulletslevelone"/>
            </w:pPr>
            <w:r>
              <w:t>Each prior violent conviction is counted separately, even if multiple convictions were related to the same incident and/or were disposed of on the same day.</w:t>
            </w:r>
          </w:p>
          <w:p w14:paraId="55574876" w14:textId="77777777" w:rsidR="00DD4BA1" w:rsidRDefault="00DD4BA1" w:rsidP="00A103C8">
            <w:pPr>
              <w:pStyle w:val="tablebulletslevelone"/>
            </w:pPr>
            <w:r>
              <w:t xml:space="preserve">Check to see whether the criminal code of any in-state prior conviction is included on your jurisdiction’s PSA Violent Offense List. </w:t>
            </w:r>
          </w:p>
          <w:p w14:paraId="1083AC10" w14:textId="77777777" w:rsidR="00DD4BA1" w:rsidRDefault="00DD4BA1" w:rsidP="00A103C8">
            <w:pPr>
              <w:pStyle w:val="tablebulletslevelone"/>
            </w:pPr>
            <w:r>
              <w:t xml:space="preserve">You </w:t>
            </w:r>
            <w:r>
              <w:rPr>
                <w:b/>
              </w:rPr>
              <w:t>must</w:t>
            </w:r>
            <w:r>
              <w:t xml:space="preserve"> check the person’s out-of-state criminal history.</w:t>
            </w:r>
          </w:p>
          <w:p w14:paraId="266CA972" w14:textId="77777777" w:rsidR="00DD4BA1" w:rsidRDefault="00DD4BA1" w:rsidP="00A103C8">
            <w:pPr>
              <w:pStyle w:val="tablebulletslevelone"/>
            </w:pPr>
            <w:r>
              <w:t xml:space="preserve">Do </w:t>
            </w:r>
            <w:r>
              <w:rPr>
                <w:b/>
              </w:rPr>
              <w:t>not</w:t>
            </w:r>
            <w:r>
              <w:t xml:space="preserve"> count the following as a prior violent conviction:</w:t>
            </w:r>
          </w:p>
          <w:p w14:paraId="31AD46C4" w14:textId="77777777" w:rsidR="00DD4BA1" w:rsidRDefault="00DD4BA1" w:rsidP="00A103C8">
            <w:pPr>
              <w:pStyle w:val="tablebulletsleveltwo"/>
            </w:pPr>
            <w:r>
              <w:t>any case in which the person was found not guilty by reason of insanity or not competent to proceed and not likely to regain competency; or</w:t>
            </w:r>
          </w:p>
          <w:p w14:paraId="5F80AA90" w14:textId="77777777" w:rsidR="00DD4BA1" w:rsidRDefault="00DD4BA1" w:rsidP="00A103C8">
            <w:pPr>
              <w:pStyle w:val="tablebulletsleveltwo"/>
            </w:pPr>
            <w:r>
              <w:t>any case that was expunged or for which the violent conviction was overturned or reversed on appeal.</w:t>
            </w:r>
          </w:p>
          <w:p w14:paraId="661C3C96" w14:textId="77777777" w:rsidR="00DD4BA1" w:rsidRDefault="00DD4BA1" w:rsidP="00FC52A8">
            <w:pPr>
              <w:pStyle w:val="Heading2"/>
            </w:pPr>
            <w:r>
              <w:t>Scoring</w:t>
            </w:r>
          </w:p>
          <w:p w14:paraId="644D445F" w14:textId="77777777" w:rsidR="00DD4BA1" w:rsidRDefault="00DD4BA1" w:rsidP="00A103C8">
            <w:pPr>
              <w:pStyle w:val="tablebulletslevelone"/>
            </w:pPr>
            <w:r>
              <w:t>Determine whether the number of prior violent convictions the person has is none, one or two, or three or more.</w:t>
            </w:r>
          </w:p>
        </w:tc>
        <w:tc>
          <w:tcPr>
            <w:tcW w:w="5395" w:type="dxa"/>
          </w:tcPr>
          <w:p w14:paraId="0344D059" w14:textId="77777777" w:rsidR="00DD4BA1" w:rsidRDefault="00DD4BA1" w:rsidP="00A103C8">
            <w:pPr>
              <w:pStyle w:val="TableBody"/>
            </w:pPr>
            <w:r>
              <w:rPr>
                <w:b/>
              </w:rPr>
              <w:t xml:space="preserve">Q: </w:t>
            </w:r>
            <w:r>
              <w:t>We have NCIC data about a person, but it is unclear whether their out-of-state conviction is for a violent offense. How should we score this?</w:t>
            </w:r>
          </w:p>
          <w:p w14:paraId="01F9A606" w14:textId="77777777" w:rsidR="00DD4BA1" w:rsidRDefault="00DD4BA1" w:rsidP="00A103C8">
            <w:pPr>
              <w:pStyle w:val="TableBody"/>
            </w:pPr>
            <w:r>
              <w:rPr>
                <w:b/>
              </w:rPr>
              <w:t xml:space="preserve">A: </w:t>
            </w:r>
            <w:r>
              <w:t>Use the following guidance to help determine whether out-of-state convictions are for violent offenses:</w:t>
            </w:r>
          </w:p>
          <w:p w14:paraId="6162F6CB" w14:textId="77777777" w:rsidR="00DD4BA1" w:rsidRDefault="00DD4BA1" w:rsidP="00A103C8">
            <w:pPr>
              <w:pStyle w:val="tablebulletslevelone"/>
            </w:pPr>
            <w:r>
              <w:t>Review the language of the out-of-state criminal code. The easiest way to find this language is through an internet search for the statutory code. The language of the code may make it clear that the offense is a violent one.</w:t>
            </w:r>
          </w:p>
          <w:p w14:paraId="2CA2A694" w14:textId="77777777" w:rsidR="00DD4BA1" w:rsidRDefault="00DD4BA1" w:rsidP="00A103C8">
            <w:pPr>
              <w:pStyle w:val="tablebulletslevelone"/>
            </w:pPr>
            <w:r>
              <w:t>Use Nlets (</w:t>
            </w:r>
            <w:hyperlink r:id="rId9">
              <w:r>
                <w:rPr>
                  <w:color w:val="2781A2"/>
                </w:rPr>
                <w:t>nlets.org</w:t>
              </w:r>
            </w:hyperlink>
            <w:r>
              <w:t xml:space="preserve">)—a platform for exchanging information about public safety, criminal justice, and law enforcement—to submit inquiries to the jurisdiction where the conviction took place. </w:t>
            </w:r>
          </w:p>
          <w:p w14:paraId="76DD4FFB" w14:textId="77777777" w:rsidR="00DD4BA1" w:rsidRDefault="00DD4BA1" w:rsidP="00A103C8">
            <w:pPr>
              <w:pStyle w:val="tablebulletslevelone"/>
            </w:pPr>
            <w:r>
              <w:t>If the prior conviction is from a jurisdiction that has implemented the PSA, you may be able to review that state’s PSA Violent Offense List. Contact the APPR Help Desk (</w:t>
            </w:r>
            <w:hyperlink r:id="rId10">
              <w:r>
                <w:rPr>
                  <w:color w:val="2781A2"/>
                </w:rPr>
                <w:t>advancingpretrial.org/help</w:t>
              </w:r>
            </w:hyperlink>
            <w:r>
              <w:t xml:space="preserve">) to obtain a state’s PSA Violent Offense List. </w:t>
            </w:r>
          </w:p>
          <w:p w14:paraId="235256AF" w14:textId="77777777" w:rsidR="00DD4BA1" w:rsidRDefault="00DD4BA1" w:rsidP="00A103C8">
            <w:pPr>
              <w:pStyle w:val="tablebulletslevelone"/>
            </w:pPr>
            <w:r>
              <w:t>If it remains unclear whether the conviction is for a violent offense, then do not count it as a prior violent conviction, but this should be investigated further and the answer made available to score future PSAs.</w:t>
            </w:r>
          </w:p>
          <w:p w14:paraId="28D42CDA" w14:textId="77777777" w:rsidR="00DD4BA1" w:rsidRDefault="00DD4BA1" w:rsidP="00A103C8">
            <w:pPr>
              <w:pStyle w:val="tablebulletslevelone"/>
            </w:pPr>
            <w:r>
              <w:t>If you request information from another state and find out after scoring the PSA that the prior conviction is a violent offense, then update the PSA.</w:t>
            </w:r>
          </w:p>
          <w:p w14:paraId="6EC9604A" w14:textId="77777777" w:rsidR="00DD4BA1" w:rsidRDefault="00DD4BA1" w:rsidP="00A103C8">
            <w:pPr>
              <w:pStyle w:val="TableBody"/>
            </w:pPr>
          </w:p>
          <w:p w14:paraId="3E7FE075" w14:textId="77777777" w:rsidR="00DD4BA1" w:rsidRDefault="00DD4BA1" w:rsidP="00A103C8">
            <w:pPr>
              <w:pStyle w:val="TableBody"/>
            </w:pPr>
            <w:r>
              <w:rPr>
                <w:b/>
              </w:rPr>
              <w:t>Q:</w:t>
            </w:r>
            <w:r>
              <w:t xml:space="preserve"> A person was previously convicted of a violent offense. They had one court case but were convicted on two charges, both of which were violent. Does this count as one or two violent convictions?</w:t>
            </w:r>
          </w:p>
          <w:p w14:paraId="4AD2BFCC" w14:textId="77777777" w:rsidR="00DD4BA1" w:rsidRDefault="00DD4BA1" w:rsidP="00A103C8">
            <w:pPr>
              <w:pStyle w:val="TableBody"/>
            </w:pPr>
            <w:r>
              <w:rPr>
                <w:b/>
              </w:rPr>
              <w:t>A:</w:t>
            </w:r>
            <w:r>
              <w:t xml:space="preserve"> Score this person as having two prior violent convictions. This PSA factor is scored on each prior charge, not prior cases. </w:t>
            </w:r>
          </w:p>
        </w:tc>
      </w:tr>
    </w:tbl>
    <w:p w14:paraId="5285206D" w14:textId="77777777" w:rsidR="00DD4BA1" w:rsidRDefault="00DD4BA1" w:rsidP="00DD4BA1">
      <w:pPr>
        <w:spacing w:after="100" w:line="260" w:lineRule="auto"/>
      </w:pPr>
      <w:r>
        <w:br w:type="page"/>
      </w:r>
    </w:p>
    <w:p w14:paraId="5839C5FF" w14:textId="77777777" w:rsidR="00DD4BA1" w:rsidRDefault="00DD4BA1" w:rsidP="00DD4BA1">
      <w:pPr>
        <w:pStyle w:val="Heading1"/>
        <w:spacing w:before="240"/>
      </w:pPr>
      <w:bookmarkStart w:id="19" w:name="_heading=h.3rdcrjn" w:colFirst="0" w:colLast="0"/>
      <w:bookmarkStart w:id="20" w:name="_Toc100071361"/>
      <w:bookmarkEnd w:id="19"/>
      <w:r>
        <w:lastRenderedPageBreak/>
        <w:t>Factor 7: Prior Failure to Appear Pretrial in Past Two Years</w:t>
      </w:r>
      <w:r>
        <w:br/>
        <w:t>Factor 8: Prior Failure to Appear Pretrial Older Than Two Years</w:t>
      </w:r>
      <w:bookmarkEnd w:id="20"/>
    </w:p>
    <w:p w14:paraId="04359B6E" w14:textId="77777777" w:rsidR="00B2414A" w:rsidRPr="003934C3" w:rsidRDefault="00B2414A" w:rsidP="00B2414A">
      <w:pPr>
        <w:pStyle w:val="MainTextSpace"/>
        <w:rPr>
          <w:b/>
          <w:bCs/>
        </w:rPr>
      </w:pPr>
      <w:r w:rsidRPr="003934C3">
        <w:rPr>
          <w:b/>
          <w:bCs/>
        </w:rPr>
        <w:t>Data Source(s): ______________</w:t>
      </w:r>
    </w:p>
    <w:tbl>
      <w:tblPr>
        <w:tblW w:w="9350" w:type="dxa"/>
        <w:tblBorders>
          <w:top w:val="single" w:sz="8" w:space="0" w:color="A5A5A5"/>
          <w:left w:val="single" w:sz="4" w:space="0" w:color="000000"/>
          <w:bottom w:val="single" w:sz="8" w:space="0" w:color="A5A5A5"/>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5665"/>
      </w:tblGrid>
      <w:tr w:rsidR="00DD4BA1" w14:paraId="4CD2B8CB" w14:textId="77777777" w:rsidTr="00FC52A8">
        <w:trPr>
          <w:tblHeader/>
        </w:trPr>
        <w:tc>
          <w:tcPr>
            <w:tcW w:w="3685" w:type="dxa"/>
            <w:tcBorders>
              <w:right w:val="single" w:sz="4" w:space="0" w:color="70AD47"/>
            </w:tcBorders>
            <w:shd w:val="clear" w:color="auto" w:fill="002060"/>
          </w:tcPr>
          <w:p w14:paraId="7745FD96" w14:textId="77777777" w:rsidR="00DD4BA1" w:rsidRDefault="00DD4BA1" w:rsidP="00B2414A">
            <w:pPr>
              <w:pStyle w:val="TableHead"/>
            </w:pPr>
            <w:r>
              <w:t>Definition</w:t>
            </w:r>
          </w:p>
        </w:tc>
        <w:tc>
          <w:tcPr>
            <w:tcW w:w="5665" w:type="dxa"/>
            <w:tcBorders>
              <w:left w:val="single" w:sz="4" w:space="0" w:color="70AD47"/>
            </w:tcBorders>
            <w:shd w:val="clear" w:color="auto" w:fill="002060"/>
          </w:tcPr>
          <w:p w14:paraId="531E4F3D" w14:textId="77777777" w:rsidR="00DD4BA1" w:rsidRDefault="00DD4BA1" w:rsidP="00B2414A">
            <w:pPr>
              <w:pStyle w:val="TableHead"/>
            </w:pPr>
            <w:r>
              <w:t>Frequently Asked Questions (FAQs)</w:t>
            </w:r>
          </w:p>
        </w:tc>
      </w:tr>
      <w:tr w:rsidR="00DD4BA1" w14:paraId="7C2D255C" w14:textId="77777777" w:rsidTr="00FC52A8">
        <w:tc>
          <w:tcPr>
            <w:tcW w:w="3685" w:type="dxa"/>
          </w:tcPr>
          <w:p w14:paraId="4B081139" w14:textId="77777777" w:rsidR="00DD4BA1" w:rsidRDefault="00DD4BA1" w:rsidP="00A103C8">
            <w:pPr>
              <w:pStyle w:val="tablebulletslevelone"/>
            </w:pPr>
            <w:r>
              <w:t xml:space="preserve">To count a failure to appear when scoring these factors, it must be for a pre-disposition court appearance for a traffic or criminal offense that carries a potential penalty of incarceration (jail or prison) and for which the court took an action, such as issuing a bench warrant, capias, or summons. </w:t>
            </w:r>
            <w:r>
              <w:rPr>
                <w:i/>
              </w:rPr>
              <w:t xml:space="preserve">Note: </w:t>
            </w:r>
            <w:r>
              <w:t>A pre-disposition court appearance is any hearing after arrest and prior to and including sentencing.</w:t>
            </w:r>
          </w:p>
          <w:p w14:paraId="0F898A82" w14:textId="77777777" w:rsidR="00DD4BA1" w:rsidRDefault="00DD4BA1" w:rsidP="00A103C8">
            <w:pPr>
              <w:pStyle w:val="tablebulletslevelone"/>
            </w:pPr>
            <w:r>
              <w:t xml:space="preserve">Local, state, and national databases are used to score these factors. </w:t>
            </w:r>
          </w:p>
          <w:p w14:paraId="2A9345B1" w14:textId="77777777" w:rsidR="00DD4BA1" w:rsidRDefault="00DD4BA1" w:rsidP="00A103C8">
            <w:pPr>
              <w:pStyle w:val="tablebulletslevelone"/>
            </w:pPr>
            <w:r>
              <w:t>When scoring the PSA, do not count post-sentence failures to appear, such as an FTA at a hearing for a violation of probation supervision.</w:t>
            </w:r>
          </w:p>
          <w:p w14:paraId="6EE54E12" w14:textId="77777777" w:rsidR="00DD4BA1" w:rsidRDefault="00DD4BA1" w:rsidP="00A103C8">
            <w:pPr>
              <w:pStyle w:val="tablebulletslevelone"/>
            </w:pPr>
            <w:r>
              <w:t xml:space="preserve">Do </w:t>
            </w:r>
            <w:r>
              <w:rPr>
                <w:b/>
              </w:rPr>
              <w:t>not</w:t>
            </w:r>
            <w:r>
              <w:t xml:space="preserve"> count the failure to appear if the warrant, capias, or summons is issued and withdrawn, canceled, or quashed on the same day.</w:t>
            </w:r>
          </w:p>
          <w:p w14:paraId="6DF10046" w14:textId="77777777" w:rsidR="00DD4BA1" w:rsidRDefault="00DD4BA1" w:rsidP="00A103C8">
            <w:pPr>
              <w:pStyle w:val="tablebulletslevelone"/>
            </w:pPr>
            <w:r>
              <w:t xml:space="preserve">Do </w:t>
            </w:r>
            <w:r>
              <w:rPr>
                <w:b/>
              </w:rPr>
              <w:t>not</w:t>
            </w:r>
            <w:r>
              <w:t xml:space="preserve"> count the failure to appear if the warrant, capias, or summons was issued for a failure to appear that occurred when the person was in custody (in jail or prison).</w:t>
            </w:r>
          </w:p>
          <w:p w14:paraId="51A46175" w14:textId="77777777" w:rsidR="00DD4BA1" w:rsidRDefault="00DD4BA1" w:rsidP="00A103C8">
            <w:pPr>
              <w:pStyle w:val="tablebulletslevelone"/>
            </w:pPr>
            <w:r>
              <w:t xml:space="preserve">Failure to appear </w:t>
            </w:r>
            <w:r>
              <w:rPr>
                <w:b/>
              </w:rPr>
              <w:t>is</w:t>
            </w:r>
            <w:r>
              <w:t xml:space="preserve"> counted even if the case was later </w:t>
            </w:r>
            <w:r>
              <w:rPr>
                <w:i/>
              </w:rPr>
              <w:t>dismissed or not filed</w:t>
            </w:r>
            <w:r>
              <w:t xml:space="preserve">. It is </w:t>
            </w:r>
            <w:r>
              <w:rPr>
                <w:b/>
              </w:rPr>
              <w:t>not</w:t>
            </w:r>
            <w:r>
              <w:t xml:space="preserve"> counted if a case is later </w:t>
            </w:r>
            <w:r>
              <w:rPr>
                <w:i/>
              </w:rPr>
              <w:t xml:space="preserve">vacated or expunged. </w:t>
            </w:r>
          </w:p>
          <w:p w14:paraId="2A3BB23A" w14:textId="77777777" w:rsidR="00DD4BA1" w:rsidRDefault="00DD4BA1" w:rsidP="00A103C8">
            <w:pPr>
              <w:pStyle w:val="tablebulletslevelone"/>
            </w:pPr>
            <w:r>
              <w:t>A failure to appear for a single court appearance is counted once per case, regardless of the number of charges per case or warrants issued related to a singular nonappearance event.</w:t>
            </w:r>
          </w:p>
          <w:p w14:paraId="4F31240D" w14:textId="77777777" w:rsidR="00DD4BA1" w:rsidRDefault="00DD4BA1" w:rsidP="00A103C8">
            <w:pPr>
              <w:pStyle w:val="tablebulletslevelone"/>
            </w:pPr>
            <w:r>
              <w:lastRenderedPageBreak/>
              <w:t>If a judge issues a warrant for a failure to appear because the person failed to show for a competency hearing for a criminal case, the FTA is counted when scoring the PSA, even if proceedings were suspended.</w:t>
            </w:r>
          </w:p>
          <w:p w14:paraId="2B40DD6B" w14:textId="77777777" w:rsidR="00DD4BA1" w:rsidRDefault="00DD4BA1" w:rsidP="00A103C8">
            <w:pPr>
              <w:pStyle w:val="tablebulletslevelone"/>
            </w:pPr>
            <w:r>
              <w:t>For factor 7, the failure to appear must have occurred within two years of the current arrest date. For factor 8, the failure to appear must have occurred more than two years before the current arrest date. If you do not know the current arrest date, use the date the PSA is completed.</w:t>
            </w:r>
          </w:p>
          <w:p w14:paraId="727B0B6A" w14:textId="77777777" w:rsidR="00DD4BA1" w:rsidRDefault="00DD4BA1" w:rsidP="00FC52A8">
            <w:pPr>
              <w:pStyle w:val="Heading2"/>
            </w:pPr>
            <w:r>
              <w:t>Scoring</w:t>
            </w:r>
          </w:p>
          <w:p w14:paraId="7571CE87" w14:textId="77777777" w:rsidR="00DD4BA1" w:rsidRDefault="00DD4BA1" w:rsidP="00A103C8">
            <w:pPr>
              <w:pStyle w:val="tablebulletslevelone"/>
            </w:pPr>
            <w:r>
              <w:t>For factor 7, determine whether the number of the person’s pretrial failures to appear in the past two years is none, one, or two or more.</w:t>
            </w:r>
          </w:p>
          <w:p w14:paraId="2A0CF5F9" w14:textId="77777777" w:rsidR="00DD4BA1" w:rsidRDefault="00DD4BA1" w:rsidP="00A103C8">
            <w:pPr>
              <w:pStyle w:val="tablebulletslevelone"/>
            </w:pPr>
            <w:r>
              <w:t xml:space="preserve">For factor 8, if the person has had one or more pretrial failures to appear more than two years ago, mark this factor as </w:t>
            </w:r>
            <w:r>
              <w:rPr>
                <w:b/>
              </w:rPr>
              <w:t>Yes</w:t>
            </w:r>
            <w:r>
              <w:t>.</w:t>
            </w:r>
          </w:p>
        </w:tc>
        <w:tc>
          <w:tcPr>
            <w:tcW w:w="5665" w:type="dxa"/>
          </w:tcPr>
          <w:p w14:paraId="4E451EB5" w14:textId="77777777" w:rsidR="00DD4BA1" w:rsidRDefault="00DD4BA1" w:rsidP="00A103C8">
            <w:pPr>
              <w:pStyle w:val="TableBody"/>
            </w:pPr>
            <w:r>
              <w:rPr>
                <w:b/>
              </w:rPr>
              <w:lastRenderedPageBreak/>
              <w:t>Q:</w:t>
            </w:r>
            <w:r>
              <w:t xml:space="preserve"> The court records indicate that a person failed to appear at a pre-disposition court event, but those records do not indicate that the court took any action. Does this still count as a failure to appear?</w:t>
            </w:r>
          </w:p>
          <w:p w14:paraId="4CB7EA02" w14:textId="77777777" w:rsidR="00DD4BA1" w:rsidRDefault="00DD4BA1" w:rsidP="00A103C8">
            <w:pPr>
              <w:pStyle w:val="TableBody"/>
            </w:pPr>
            <w:r>
              <w:rPr>
                <w:b/>
              </w:rPr>
              <w:t xml:space="preserve">A: </w:t>
            </w:r>
            <w:r>
              <w:t xml:space="preserve">No. For the purposes of the PSA, a failure to appear includes any pre-disposition court appearance for which the person failed to appear </w:t>
            </w:r>
            <w:r>
              <w:rPr>
                <w:i/>
              </w:rPr>
              <w:t>and</w:t>
            </w:r>
            <w:r>
              <w:t xml:space="preserve"> the court took an action such as issuing a warrant, capias, or summons. </w:t>
            </w:r>
          </w:p>
          <w:p w14:paraId="469929EA" w14:textId="77777777" w:rsidR="00DD4BA1" w:rsidRDefault="00DD4BA1" w:rsidP="00A103C8">
            <w:pPr>
              <w:pStyle w:val="TableBody"/>
            </w:pPr>
          </w:p>
          <w:p w14:paraId="7CE9D204" w14:textId="77777777" w:rsidR="00DD4BA1" w:rsidRDefault="00DD4BA1" w:rsidP="00A103C8">
            <w:pPr>
              <w:pStyle w:val="TableBody"/>
            </w:pPr>
            <w:r>
              <w:rPr>
                <w:b/>
              </w:rPr>
              <w:t xml:space="preserve">Q: </w:t>
            </w:r>
            <w:r>
              <w:t xml:space="preserve">Do I count all warrants for failure to appear as Prior Failures to Appear Pretrial? </w:t>
            </w:r>
          </w:p>
          <w:p w14:paraId="312AE5C1" w14:textId="77777777" w:rsidR="00DD4BA1" w:rsidRDefault="00DD4BA1" w:rsidP="00A103C8">
            <w:pPr>
              <w:pStyle w:val="TableBody"/>
            </w:pPr>
            <w:r>
              <w:rPr>
                <w:b/>
              </w:rPr>
              <w:t xml:space="preserve">A: </w:t>
            </w:r>
            <w:r>
              <w:t xml:space="preserve">No. Count only the warrants for pre-disposition court appearances for traffic or criminal offenses that carry a potential penalty of incarceration. Do </w:t>
            </w:r>
            <w:r>
              <w:rPr>
                <w:b/>
              </w:rPr>
              <w:t>not</w:t>
            </w:r>
            <w:r>
              <w:t xml:space="preserve"> count post-disposition court appearances such as hearings for nonpayment/failure to pay, violations of supervision, and violations of other court-ordered obligations. And do </w:t>
            </w:r>
            <w:r>
              <w:rPr>
                <w:b/>
              </w:rPr>
              <w:t>not</w:t>
            </w:r>
            <w:r>
              <w:t xml:space="preserve"> count failures to appear at civil traffic or local ordinance hearings.</w:t>
            </w:r>
          </w:p>
          <w:p w14:paraId="55BCF228" w14:textId="77777777" w:rsidR="00DD4BA1" w:rsidRDefault="00DD4BA1" w:rsidP="00A103C8">
            <w:pPr>
              <w:pStyle w:val="TableBody"/>
            </w:pPr>
          </w:p>
          <w:p w14:paraId="4CA2C897" w14:textId="77777777" w:rsidR="00DD4BA1" w:rsidRDefault="00DD4BA1" w:rsidP="00A103C8">
            <w:pPr>
              <w:pStyle w:val="TableBody"/>
            </w:pPr>
            <w:r>
              <w:rPr>
                <w:b/>
              </w:rPr>
              <w:t>Q:</w:t>
            </w:r>
            <w:r>
              <w:t xml:space="preserve"> Should the PSA be completed if someone is issued an FTA warrant for failing to appear for a sentencing hearing? </w:t>
            </w:r>
          </w:p>
          <w:p w14:paraId="1BF61D74" w14:textId="77777777" w:rsidR="00DD4BA1" w:rsidRDefault="00DD4BA1" w:rsidP="00A103C8">
            <w:pPr>
              <w:pStyle w:val="TableBody"/>
            </w:pPr>
            <w:r>
              <w:rPr>
                <w:b/>
              </w:rPr>
              <w:t>A:</w:t>
            </w:r>
            <w:r>
              <w:t xml:space="preserve"> It depends. If your jurisdiction considers sentencing as case disposition, the PSA would be completed because the FTA warrant was issued pre-disposition. If adjudication (guilty, not guilty, dismissal) is case disposition, the PSA would not be completed because the FTA warrant was issued post-disposition.</w:t>
            </w:r>
          </w:p>
          <w:p w14:paraId="4BD4A163" w14:textId="77777777" w:rsidR="00DD4BA1" w:rsidRDefault="00DD4BA1" w:rsidP="00A103C8">
            <w:pPr>
              <w:pStyle w:val="TableBody"/>
            </w:pPr>
          </w:p>
          <w:p w14:paraId="37404049" w14:textId="77777777" w:rsidR="00DD4BA1" w:rsidRDefault="00DD4BA1" w:rsidP="00A103C8">
            <w:pPr>
              <w:pStyle w:val="TableBody"/>
            </w:pPr>
            <w:r>
              <w:rPr>
                <w:b/>
              </w:rPr>
              <w:t>Q:</w:t>
            </w:r>
            <w:r>
              <w:t xml:space="preserve"> The court issued a pretrial FTA warrant and then later canceled, withdrew, or quashed the warrant. Is this still counted when scoring the PSA? </w:t>
            </w:r>
          </w:p>
          <w:p w14:paraId="36EF0AE2" w14:textId="77777777" w:rsidR="00DD4BA1" w:rsidRDefault="00DD4BA1" w:rsidP="00A103C8">
            <w:pPr>
              <w:pStyle w:val="TableBody"/>
            </w:pPr>
            <w:r>
              <w:rPr>
                <w:b/>
              </w:rPr>
              <w:t>A:</w:t>
            </w:r>
            <w:r>
              <w:t xml:space="preserve"> Yes, under almost all circumstances. The only exception is if the warrant was canceled, withdrawn, or quashed on the </w:t>
            </w:r>
            <w:r>
              <w:rPr>
                <w:i/>
              </w:rPr>
              <w:t>same day</w:t>
            </w:r>
            <w:r>
              <w:t xml:space="preserve"> it was issued. When that happens, the FTA warrant is not counted. If a person has a failure to appear </w:t>
            </w:r>
            <w:r>
              <w:lastRenderedPageBreak/>
              <w:t xml:space="preserve">warrant on their record and extenuating circumstances deserve consideration, this information should be brought to the judicial officer’s attention. </w:t>
            </w:r>
          </w:p>
          <w:p w14:paraId="0B815C31" w14:textId="77777777" w:rsidR="00DD4BA1" w:rsidRDefault="00DD4BA1" w:rsidP="00A103C8">
            <w:pPr>
              <w:pStyle w:val="TableBody"/>
            </w:pPr>
          </w:p>
          <w:p w14:paraId="7CBA8057" w14:textId="77777777" w:rsidR="00DD4BA1" w:rsidRDefault="00DD4BA1" w:rsidP="00A103C8">
            <w:pPr>
              <w:pStyle w:val="TableBody"/>
            </w:pPr>
            <w:r>
              <w:rPr>
                <w:b/>
              </w:rPr>
              <w:t xml:space="preserve">Q: </w:t>
            </w:r>
            <w:r>
              <w:t>The person was sent a summons to appear but then did not appear in court on the designated day and a failure to appear bench warrant was issued. There is no record to confirm that the person actually received the summons. Do I count this as a failure to appear?</w:t>
            </w:r>
          </w:p>
          <w:p w14:paraId="19DA80D2" w14:textId="77777777" w:rsidR="00DD4BA1" w:rsidRDefault="00DD4BA1" w:rsidP="00A103C8">
            <w:pPr>
              <w:pStyle w:val="TableBody"/>
            </w:pPr>
            <w:r>
              <w:rPr>
                <w:b/>
              </w:rPr>
              <w:t xml:space="preserve">A: </w:t>
            </w:r>
            <w:r>
              <w:t>Yes. If the failure to appear warrant appears in the person’s court or criminal history records, it is counted for this factor as a failure to appear.</w:t>
            </w:r>
          </w:p>
          <w:p w14:paraId="6E8CAB76" w14:textId="77777777" w:rsidR="00DD4BA1" w:rsidRDefault="00DD4BA1" w:rsidP="00A103C8">
            <w:pPr>
              <w:pStyle w:val="TableBody"/>
            </w:pPr>
          </w:p>
          <w:p w14:paraId="259AD065" w14:textId="77777777" w:rsidR="00DD4BA1" w:rsidRDefault="00DD4BA1" w:rsidP="00A103C8">
            <w:pPr>
              <w:pStyle w:val="TableBody"/>
            </w:pPr>
            <w:r>
              <w:rPr>
                <w:b/>
              </w:rPr>
              <w:t xml:space="preserve">Q: </w:t>
            </w:r>
            <w:r>
              <w:t>A person had two separate court cases. They were scheduled to appear in front of one judge on the same day at the same time for both cases. They did not appear, and the judge issued one or two warrants for failure to appear. Is this counted as one or two failures to appear for this factor?</w:t>
            </w:r>
          </w:p>
          <w:p w14:paraId="3F39765A" w14:textId="77777777" w:rsidR="00DD4BA1" w:rsidRDefault="00DD4BA1" w:rsidP="00A103C8">
            <w:pPr>
              <w:pStyle w:val="TableBody"/>
            </w:pPr>
            <w:r>
              <w:rPr>
                <w:b/>
              </w:rPr>
              <w:t>A:</w:t>
            </w:r>
            <w:r>
              <w:t xml:space="preserve"> This is scored as two failures to appear. Although the person was scheduled to appear only once and the judge may have issued only one warrant, there were two separate cases. This factor is scored based on each case. </w:t>
            </w:r>
          </w:p>
          <w:p w14:paraId="1A7E355C" w14:textId="77777777" w:rsidR="00DD4BA1" w:rsidRDefault="00DD4BA1" w:rsidP="00A103C8">
            <w:pPr>
              <w:pStyle w:val="TableBody"/>
            </w:pPr>
          </w:p>
          <w:p w14:paraId="76D1DC04" w14:textId="77777777" w:rsidR="00DD4BA1" w:rsidRDefault="00DD4BA1" w:rsidP="00A103C8">
            <w:pPr>
              <w:pStyle w:val="TableBody"/>
            </w:pPr>
            <w:r>
              <w:rPr>
                <w:b/>
              </w:rPr>
              <w:t xml:space="preserve">Q: </w:t>
            </w:r>
            <w:r>
              <w:t>A person who was charged did not appear pretrial, but the records indicate that they were in jail or prison at the time. Does that count?</w:t>
            </w:r>
          </w:p>
          <w:p w14:paraId="6BF27E3C" w14:textId="77777777" w:rsidR="00DD4BA1" w:rsidRDefault="00DD4BA1" w:rsidP="00A103C8">
            <w:pPr>
              <w:pStyle w:val="TableBody"/>
            </w:pPr>
            <w:r>
              <w:rPr>
                <w:b/>
              </w:rPr>
              <w:t xml:space="preserve">A: </w:t>
            </w:r>
            <w:r>
              <w:t>No. A failure to appear pretrial is not counted if there is confirmation that the person was in custody (such as in jail or prison) when the FTA occurred.</w:t>
            </w:r>
          </w:p>
          <w:p w14:paraId="50E1BC81" w14:textId="77777777" w:rsidR="00DD4BA1" w:rsidRDefault="00DD4BA1" w:rsidP="00A103C8">
            <w:pPr>
              <w:pStyle w:val="TableBody"/>
            </w:pPr>
          </w:p>
          <w:p w14:paraId="7F0992AD" w14:textId="77777777" w:rsidR="00DD4BA1" w:rsidRDefault="00DD4BA1" w:rsidP="00A103C8">
            <w:pPr>
              <w:pStyle w:val="TableBody"/>
            </w:pPr>
            <w:r>
              <w:rPr>
                <w:b/>
              </w:rPr>
              <w:t xml:space="preserve">Q: </w:t>
            </w:r>
            <w:r>
              <w:t>The records indicate that the person failed to appear pretrial, but they told me during an interview that they were in the hospital at the time of the court appearance and were physically unable to attend. Is the failure to appear still counted?</w:t>
            </w:r>
          </w:p>
          <w:p w14:paraId="2D4CF3AE" w14:textId="77777777" w:rsidR="00DD4BA1" w:rsidRDefault="00DD4BA1" w:rsidP="00A103C8">
            <w:pPr>
              <w:pStyle w:val="TableBody"/>
            </w:pPr>
            <w:r>
              <w:rPr>
                <w:b/>
              </w:rPr>
              <w:t xml:space="preserve">A: </w:t>
            </w:r>
            <w:r>
              <w:t>Yes. This information can be brought to the judicial officer’s attention.</w:t>
            </w:r>
          </w:p>
        </w:tc>
      </w:tr>
    </w:tbl>
    <w:p w14:paraId="6AFF41BD" w14:textId="77777777" w:rsidR="00DD4BA1" w:rsidRDefault="00DD4BA1" w:rsidP="00DD4BA1">
      <w:pPr>
        <w:spacing w:after="100" w:line="260" w:lineRule="auto"/>
      </w:pPr>
      <w:r>
        <w:lastRenderedPageBreak/>
        <w:br w:type="page"/>
      </w:r>
    </w:p>
    <w:p w14:paraId="5D89F1A9" w14:textId="77777777" w:rsidR="00DD4BA1" w:rsidRDefault="00DD4BA1" w:rsidP="00DD4BA1">
      <w:pPr>
        <w:pStyle w:val="Heading1"/>
      </w:pPr>
      <w:bookmarkStart w:id="21" w:name="_heading=h.26in1rg" w:colFirst="0" w:colLast="0"/>
      <w:bookmarkStart w:id="22" w:name="_Toc100071362"/>
      <w:bookmarkEnd w:id="21"/>
      <w:r>
        <w:lastRenderedPageBreak/>
        <w:t>Factor 9: Prior Sentence to Incarceration</w:t>
      </w:r>
      <w:bookmarkEnd w:id="22"/>
    </w:p>
    <w:p w14:paraId="3E726D54" w14:textId="77777777" w:rsidR="00B2414A" w:rsidRPr="003934C3" w:rsidRDefault="00B2414A" w:rsidP="00B2414A">
      <w:pPr>
        <w:pStyle w:val="MainTextSpace"/>
        <w:rPr>
          <w:b/>
          <w:bCs/>
        </w:rPr>
      </w:pPr>
      <w:r w:rsidRPr="003934C3">
        <w:rPr>
          <w:b/>
          <w:bCs/>
        </w:rPr>
        <w:t>Data Source(s): ______________</w:t>
      </w:r>
    </w:p>
    <w:tbl>
      <w:tblPr>
        <w:tblW w:w="9350" w:type="dxa"/>
        <w:tblBorders>
          <w:top w:val="single" w:sz="8" w:space="0" w:color="A5A5A5"/>
          <w:left w:val="single" w:sz="4" w:space="0" w:color="000000"/>
          <w:bottom w:val="single" w:sz="8" w:space="0" w:color="A5A5A5"/>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5665"/>
      </w:tblGrid>
      <w:tr w:rsidR="00DD4BA1" w:rsidRPr="00B2414A" w14:paraId="41F38E2F" w14:textId="77777777" w:rsidTr="00FC52A8">
        <w:trPr>
          <w:tblHeader/>
        </w:trPr>
        <w:tc>
          <w:tcPr>
            <w:tcW w:w="3685" w:type="dxa"/>
            <w:tcBorders>
              <w:right w:val="single" w:sz="4" w:space="0" w:color="70AD47"/>
            </w:tcBorders>
            <w:shd w:val="clear" w:color="auto" w:fill="002060"/>
          </w:tcPr>
          <w:p w14:paraId="3AB7D7A4" w14:textId="77777777" w:rsidR="00DD4BA1" w:rsidRPr="00B2414A" w:rsidRDefault="00DD4BA1" w:rsidP="00B2414A">
            <w:pPr>
              <w:pStyle w:val="TableHead"/>
            </w:pPr>
            <w:r w:rsidRPr="00B2414A">
              <w:t>Definition</w:t>
            </w:r>
          </w:p>
        </w:tc>
        <w:tc>
          <w:tcPr>
            <w:tcW w:w="5665" w:type="dxa"/>
            <w:tcBorders>
              <w:left w:val="single" w:sz="4" w:space="0" w:color="70AD47"/>
            </w:tcBorders>
            <w:shd w:val="clear" w:color="auto" w:fill="002060"/>
          </w:tcPr>
          <w:p w14:paraId="39D881AD" w14:textId="77777777" w:rsidR="00DD4BA1" w:rsidRPr="00B2414A" w:rsidRDefault="00DD4BA1" w:rsidP="00B2414A">
            <w:pPr>
              <w:pStyle w:val="TableHead"/>
            </w:pPr>
            <w:r w:rsidRPr="00B2414A">
              <w:t>Frequently Asked Questions (FAQs)</w:t>
            </w:r>
          </w:p>
        </w:tc>
      </w:tr>
      <w:tr w:rsidR="00DD4BA1" w14:paraId="39948A83" w14:textId="77777777" w:rsidTr="00FC52A8">
        <w:tc>
          <w:tcPr>
            <w:tcW w:w="3685" w:type="dxa"/>
          </w:tcPr>
          <w:p w14:paraId="37A26DBA" w14:textId="77777777" w:rsidR="00DD4BA1" w:rsidRDefault="00DD4BA1" w:rsidP="00A103C8">
            <w:pPr>
              <w:pStyle w:val="tablebulletslevelone"/>
            </w:pPr>
            <w:r>
              <w:t>The prior sentence to incarceration—either to jail or prison—must be for a period of 14 or more days.</w:t>
            </w:r>
          </w:p>
          <w:p w14:paraId="6D584B70" w14:textId="77777777" w:rsidR="00DD4BA1" w:rsidRDefault="00DD4BA1" w:rsidP="00A103C8">
            <w:pPr>
              <w:pStyle w:val="tablebulletslevelone"/>
            </w:pPr>
            <w:r>
              <w:t>This includes incarceration as a result of a resentencing (such as for a probation revocation and/or imposition of a suspended or stayed sentence).</w:t>
            </w:r>
          </w:p>
          <w:p w14:paraId="6F5303D7" w14:textId="77777777" w:rsidR="00DD4BA1" w:rsidRDefault="00DD4BA1" w:rsidP="00A103C8">
            <w:pPr>
              <w:pStyle w:val="tablebulletslevelone"/>
            </w:pPr>
            <w:r>
              <w:t xml:space="preserve">The sentence must be imposed by a judicial officer. It does </w:t>
            </w:r>
            <w:r>
              <w:rPr>
                <w:b/>
              </w:rPr>
              <w:t>not</w:t>
            </w:r>
            <w:r>
              <w:t xml:space="preserve"> include any time spent in jail by order of a probation or community supervision officer. </w:t>
            </w:r>
          </w:p>
          <w:p w14:paraId="5EC74E8F" w14:textId="77777777" w:rsidR="00DD4BA1" w:rsidRDefault="00DD4BA1" w:rsidP="00A103C8">
            <w:pPr>
              <w:pStyle w:val="tablebulletslevelone"/>
            </w:pPr>
            <w:r>
              <w:t>Count the prior sentence to incarceration if either of the following is true:</w:t>
            </w:r>
          </w:p>
          <w:p w14:paraId="1F1D9CBE" w14:textId="77777777" w:rsidR="00DD4BA1" w:rsidRDefault="00DD4BA1" w:rsidP="00A103C8">
            <w:pPr>
              <w:pStyle w:val="tablebulletsleveltwo"/>
            </w:pPr>
            <w:r>
              <w:t>The court activates a suspended or stayed sentence of 14 or more days; or</w:t>
            </w:r>
          </w:p>
          <w:p w14:paraId="4E12E1DD" w14:textId="77777777" w:rsidR="00DD4BA1" w:rsidRDefault="00DD4BA1" w:rsidP="00A103C8">
            <w:pPr>
              <w:pStyle w:val="tablebulletsleveltwo"/>
            </w:pPr>
            <w:r>
              <w:t>The court revokes a person’s probation and orders the person to 14 or more days of incarceration.</w:t>
            </w:r>
          </w:p>
          <w:p w14:paraId="456FC802" w14:textId="77777777" w:rsidR="00DD4BA1" w:rsidRDefault="00DD4BA1" w:rsidP="00A103C8">
            <w:pPr>
              <w:pStyle w:val="tablebulletslevelone"/>
            </w:pPr>
            <w:r>
              <w:t>Do</w:t>
            </w:r>
            <w:r>
              <w:rPr>
                <w:b/>
              </w:rPr>
              <w:t xml:space="preserve"> not</w:t>
            </w:r>
            <w:r>
              <w:t xml:space="preserve"> count the prior sentence to incarceration if any of the following are true:</w:t>
            </w:r>
          </w:p>
          <w:p w14:paraId="6C58BDB4" w14:textId="77777777" w:rsidR="00DD4BA1" w:rsidRDefault="00DD4BA1" w:rsidP="00A103C8">
            <w:pPr>
              <w:pStyle w:val="tablebulletsleveltwo"/>
            </w:pPr>
            <w:r>
              <w:t>The sentence of incarceration is in lieu of payment of fines or costs; or</w:t>
            </w:r>
          </w:p>
          <w:p w14:paraId="23729F73" w14:textId="77777777" w:rsidR="00DD4BA1" w:rsidRDefault="00DD4BA1" w:rsidP="00A103C8">
            <w:pPr>
              <w:pStyle w:val="tablebulletsleveltwo"/>
            </w:pPr>
            <w:r>
              <w:t>The judge stayed or suspended the sentence and placed the person on probation; or</w:t>
            </w:r>
          </w:p>
          <w:p w14:paraId="7F5BB865" w14:textId="77777777" w:rsidR="00DD4BA1" w:rsidRDefault="00DD4BA1" w:rsidP="00A103C8">
            <w:pPr>
              <w:pStyle w:val="tablebulletsleveltwo"/>
            </w:pPr>
            <w:r>
              <w:t xml:space="preserve">The sentence is later vacated or expunged, or the conviction that resulted in a jail sentence is vacated or expunged. </w:t>
            </w:r>
          </w:p>
          <w:p w14:paraId="7CBDEEAD" w14:textId="77777777" w:rsidR="00DD4BA1" w:rsidRDefault="00DD4BA1" w:rsidP="00FC52A8">
            <w:pPr>
              <w:pStyle w:val="Heading2"/>
            </w:pPr>
            <w:r>
              <w:lastRenderedPageBreak/>
              <w:t>Scoring</w:t>
            </w:r>
          </w:p>
          <w:p w14:paraId="1D7A69F2" w14:textId="77777777" w:rsidR="00DD4BA1" w:rsidRDefault="00DD4BA1" w:rsidP="00A103C8">
            <w:pPr>
              <w:pStyle w:val="tablebulletslevelone"/>
            </w:pPr>
            <w:r>
              <w:t xml:space="preserve">If there is a prior sentence to incarceration, mark this factor as </w:t>
            </w:r>
            <w:r>
              <w:rPr>
                <w:b/>
              </w:rPr>
              <w:t>Yes</w:t>
            </w:r>
            <w:r>
              <w:t>.</w:t>
            </w:r>
          </w:p>
        </w:tc>
        <w:tc>
          <w:tcPr>
            <w:tcW w:w="5665" w:type="dxa"/>
          </w:tcPr>
          <w:p w14:paraId="7C3F2F91" w14:textId="77777777" w:rsidR="00DD4BA1" w:rsidRDefault="00DD4BA1" w:rsidP="00A103C8">
            <w:pPr>
              <w:pStyle w:val="TableBody"/>
            </w:pPr>
            <w:r>
              <w:rPr>
                <w:b/>
              </w:rPr>
              <w:lastRenderedPageBreak/>
              <w:t>Q:</w:t>
            </w:r>
            <w:r>
              <w:t xml:space="preserve"> The person was previously sentenced to 90 days in jail but received “credit for time served.” Does this count as a prior sentence to incarceration?</w:t>
            </w:r>
          </w:p>
          <w:p w14:paraId="1F10D8E5" w14:textId="77777777" w:rsidR="00DD4BA1" w:rsidRDefault="00DD4BA1" w:rsidP="00A103C8">
            <w:pPr>
              <w:pStyle w:val="TableBody"/>
            </w:pPr>
            <w:r>
              <w:rPr>
                <w:b/>
              </w:rPr>
              <w:t>A:</w:t>
            </w:r>
            <w:r>
              <w:t xml:space="preserve"> Yes. Count a sentence that is “credit for time served,” provided that the sentence was for 14 days or more. Look for a sentence, not whether the person served the time before or after the sentence was imposed. </w:t>
            </w:r>
          </w:p>
          <w:p w14:paraId="645D8F8C" w14:textId="77777777" w:rsidR="00DD4BA1" w:rsidRDefault="00DD4BA1" w:rsidP="00A103C8">
            <w:pPr>
              <w:pStyle w:val="TableBody"/>
            </w:pPr>
          </w:p>
          <w:p w14:paraId="7458DD33" w14:textId="77777777" w:rsidR="00DD4BA1" w:rsidRDefault="00DD4BA1" w:rsidP="00A103C8">
            <w:pPr>
              <w:pStyle w:val="TableBody"/>
            </w:pPr>
            <w:r>
              <w:rPr>
                <w:b/>
              </w:rPr>
              <w:t>Q:</w:t>
            </w:r>
            <w:r>
              <w:t xml:space="preserve"> The person was previously sentenced to two years in prison, but the prison sentence was suspended and the person was placed on probation. Does this count as a prior sentence to incarceration?</w:t>
            </w:r>
          </w:p>
          <w:p w14:paraId="102AEA96" w14:textId="77777777" w:rsidR="00DD4BA1" w:rsidRDefault="00DD4BA1" w:rsidP="00A103C8">
            <w:pPr>
              <w:pStyle w:val="TableBody"/>
            </w:pPr>
            <w:r>
              <w:rPr>
                <w:b/>
              </w:rPr>
              <w:t>A:</w:t>
            </w:r>
            <w:r>
              <w:t xml:space="preserve"> No. A sentence that the court stays or suspends and is never activated is not considered a sentence to incarceration. </w:t>
            </w:r>
          </w:p>
          <w:p w14:paraId="5976361C" w14:textId="77777777" w:rsidR="00DD4BA1" w:rsidRDefault="00DD4BA1" w:rsidP="00A103C8">
            <w:pPr>
              <w:pStyle w:val="TableBody"/>
            </w:pPr>
          </w:p>
          <w:p w14:paraId="2706C42A" w14:textId="77777777" w:rsidR="00DD4BA1" w:rsidRDefault="00DD4BA1" w:rsidP="00A103C8">
            <w:pPr>
              <w:pStyle w:val="TableBody"/>
            </w:pPr>
            <w:r>
              <w:rPr>
                <w:b/>
              </w:rPr>
              <w:t>Q:</w:t>
            </w:r>
            <w:r>
              <w:t xml:space="preserve"> The person was previously sentenced to 20 days in jail, but it appears that they received “good time” credit and were released after serving 10 days in jail. Does this count as a prior sentence to incarceration of 14 or more days?</w:t>
            </w:r>
          </w:p>
          <w:p w14:paraId="49A039A0" w14:textId="77777777" w:rsidR="00DD4BA1" w:rsidRDefault="00DD4BA1" w:rsidP="00A103C8">
            <w:pPr>
              <w:pStyle w:val="TableBody"/>
            </w:pPr>
            <w:r>
              <w:rPr>
                <w:b/>
              </w:rPr>
              <w:t>A:</w:t>
            </w:r>
            <w:r>
              <w:t xml:space="preserve"> Yes. The length of the imposed sentence is the pertinent factor, not the amount of time served. </w:t>
            </w:r>
          </w:p>
          <w:p w14:paraId="22CF9C13" w14:textId="77777777" w:rsidR="00DD4BA1" w:rsidRDefault="00DD4BA1" w:rsidP="00A103C8">
            <w:pPr>
              <w:pStyle w:val="TableBody"/>
            </w:pPr>
          </w:p>
          <w:p w14:paraId="11A33C6D" w14:textId="77777777" w:rsidR="00DD4BA1" w:rsidRDefault="00DD4BA1" w:rsidP="00A103C8">
            <w:pPr>
              <w:pStyle w:val="TableBody"/>
            </w:pPr>
            <w:r>
              <w:rPr>
                <w:b/>
              </w:rPr>
              <w:t>Q:</w:t>
            </w:r>
            <w:r>
              <w:t xml:space="preserve"> The person was sentenced for several charges on the same date, and although their total sentence amounted to more than 14 days, each sentence was shorter than 14 days. Does that count?</w:t>
            </w:r>
          </w:p>
          <w:p w14:paraId="3E51EBED" w14:textId="77777777" w:rsidR="00DD4BA1" w:rsidRDefault="00DD4BA1" w:rsidP="00A103C8">
            <w:pPr>
              <w:pStyle w:val="TableBody"/>
            </w:pPr>
            <w:r>
              <w:rPr>
                <w:b/>
              </w:rPr>
              <w:t>A:</w:t>
            </w:r>
            <w:r>
              <w:t xml:space="preserve"> No. The pertinent factor is whether a court sentenced a person to 14 days or more on a single sentence, not whether a combination of multiple sentences resulted in a sentence of 14 days or more. </w:t>
            </w:r>
          </w:p>
          <w:p w14:paraId="67D4C421" w14:textId="77777777" w:rsidR="00DD4BA1" w:rsidRDefault="00DD4BA1" w:rsidP="00A103C8">
            <w:pPr>
              <w:pStyle w:val="TableBody"/>
            </w:pPr>
          </w:p>
          <w:p w14:paraId="68750871" w14:textId="77777777" w:rsidR="00DD4BA1" w:rsidRDefault="00DD4BA1" w:rsidP="00A103C8">
            <w:pPr>
              <w:pStyle w:val="TableBody"/>
            </w:pPr>
            <w:r>
              <w:rPr>
                <w:b/>
              </w:rPr>
              <w:t>Q:</w:t>
            </w:r>
            <w:r>
              <w:t xml:space="preserve"> The person was sentenced to serve 20 days in jail and was allowed to serve it over a period of 10 weekends. Does that count as a sentence of 14 days or more?</w:t>
            </w:r>
          </w:p>
          <w:p w14:paraId="6CD1CAD0" w14:textId="77777777" w:rsidR="00DD4BA1" w:rsidRDefault="00DD4BA1" w:rsidP="00A103C8">
            <w:pPr>
              <w:pStyle w:val="TableBody"/>
            </w:pPr>
            <w:r>
              <w:rPr>
                <w:b/>
              </w:rPr>
              <w:lastRenderedPageBreak/>
              <w:t>A:</w:t>
            </w:r>
            <w:r>
              <w:t xml:space="preserve"> Yes. A sentence of 14 days or more counts even if the days are not served consecutively.</w:t>
            </w:r>
          </w:p>
          <w:p w14:paraId="475E7FC1" w14:textId="77777777" w:rsidR="00DD4BA1" w:rsidRDefault="00DD4BA1" w:rsidP="00A103C8">
            <w:pPr>
              <w:pStyle w:val="TableBody"/>
            </w:pPr>
          </w:p>
          <w:p w14:paraId="0F57E210" w14:textId="77777777" w:rsidR="00DD4BA1" w:rsidRDefault="00DD4BA1" w:rsidP="00A103C8">
            <w:pPr>
              <w:pStyle w:val="TableBody"/>
            </w:pPr>
            <w:r>
              <w:rPr>
                <w:b/>
              </w:rPr>
              <w:t xml:space="preserve">Q: </w:t>
            </w:r>
            <w:r>
              <w:t>Do we count a sentence to "jail or work release" even if the person served the time on work release and was not incarcerated?</w:t>
            </w:r>
          </w:p>
          <w:p w14:paraId="39883636" w14:textId="77777777" w:rsidR="00DD4BA1" w:rsidRDefault="00DD4BA1" w:rsidP="00A103C8">
            <w:pPr>
              <w:pStyle w:val="TableBody"/>
            </w:pPr>
            <w:r>
              <w:rPr>
                <w:b/>
              </w:rPr>
              <w:t xml:space="preserve">A: </w:t>
            </w:r>
            <w:r>
              <w:t>Yes, as long as the sentence was for 14 days or more. The length of the imposed sentence to incarceration is the pertinent factor, not the amount of time served.</w:t>
            </w:r>
          </w:p>
        </w:tc>
      </w:tr>
    </w:tbl>
    <w:p w14:paraId="129295B7" w14:textId="77777777" w:rsidR="00DD4BA1" w:rsidRDefault="00DD4BA1" w:rsidP="00DD4BA1">
      <w:r>
        <w:lastRenderedPageBreak/>
        <w:br w:type="page"/>
      </w:r>
    </w:p>
    <w:p w14:paraId="1C8643F5" w14:textId="77777777" w:rsidR="00DD4BA1" w:rsidRDefault="00DD4BA1" w:rsidP="00DD4BA1">
      <w:pPr>
        <w:pStyle w:val="Heading1"/>
      </w:pPr>
      <w:bookmarkStart w:id="23" w:name="_heading=h.lnxbz9" w:colFirst="0" w:colLast="0"/>
      <w:bookmarkStart w:id="24" w:name="_Toc100071363"/>
      <w:bookmarkEnd w:id="23"/>
      <w:r>
        <w:lastRenderedPageBreak/>
        <w:t>PSA Outcomes</w:t>
      </w:r>
      <w:bookmarkEnd w:id="24"/>
    </w:p>
    <w:p w14:paraId="65E9C380" w14:textId="77777777" w:rsidR="00DD4BA1" w:rsidRDefault="00DD4BA1" w:rsidP="00B2414A">
      <w:pPr>
        <w:pStyle w:val="MainTextBody"/>
      </w:pPr>
      <w:r>
        <w:t>The PSA assesses the pretrial likelihood of failing to appear (FTA) in court, having a new criminal arrest (NCA), and having a new violent criminal arrest (NVCA). These are the definitions for the PSA’s three outcomes:</w:t>
      </w:r>
    </w:p>
    <w:p w14:paraId="53FDF9DD" w14:textId="77777777" w:rsidR="00DD4BA1" w:rsidRPr="00B2414A" w:rsidRDefault="00DD4BA1" w:rsidP="00B2414A">
      <w:pPr>
        <w:pStyle w:val="Heading2"/>
      </w:pPr>
      <w:r w:rsidRPr="00B2414A">
        <w:t xml:space="preserve">Failure to Appear (FTA) </w:t>
      </w:r>
    </w:p>
    <w:p w14:paraId="5167707F" w14:textId="77777777" w:rsidR="00DD4BA1" w:rsidRDefault="00DD4BA1" w:rsidP="00B2414A">
      <w:pPr>
        <w:pStyle w:val="MainTextBody"/>
      </w:pPr>
      <w:r>
        <w:t xml:space="preserve">This refers to the person who was released not showing up for at least one pre-disposition court hearing </w:t>
      </w:r>
      <w:r>
        <w:rPr>
          <w:i/>
        </w:rPr>
        <w:t xml:space="preserve">and </w:t>
      </w:r>
      <w:r>
        <w:t xml:space="preserve">the court responding to the nonappearance by issuing a warrant, capias, summons, or similar response. </w:t>
      </w:r>
    </w:p>
    <w:p w14:paraId="0853907B" w14:textId="77777777" w:rsidR="00DD4BA1" w:rsidRDefault="00DD4BA1" w:rsidP="00DD4BA1">
      <w:pPr>
        <w:pStyle w:val="Heading2"/>
      </w:pPr>
      <w:r>
        <w:t xml:space="preserve">New Criminal Arrest (NCA) </w:t>
      </w:r>
    </w:p>
    <w:p w14:paraId="08DA7815" w14:textId="77777777" w:rsidR="00DD4BA1" w:rsidRDefault="00DD4BA1" w:rsidP="00B2414A">
      <w:pPr>
        <w:pStyle w:val="MainTextBody"/>
      </w:pPr>
      <w:r>
        <w:t xml:space="preserve">This refers to the person who was arrested during the pretrial release period for at least one offense that carries a potential penalty of incarceration. The arrest can happen through a custodial arrest or through a citation/summons. The NCA outcome pertains to any arrest—misdemeanor or felony, violent or nonviolent—that meets the criteria above. </w:t>
      </w:r>
    </w:p>
    <w:p w14:paraId="403D765A" w14:textId="77777777" w:rsidR="00DD4BA1" w:rsidRDefault="00DD4BA1" w:rsidP="00DD4BA1">
      <w:pPr>
        <w:pStyle w:val="Heading2"/>
      </w:pPr>
      <w:r>
        <w:t xml:space="preserve">New Violent Criminal Arrest (NVCA) </w:t>
      </w:r>
    </w:p>
    <w:p w14:paraId="10F2216E" w14:textId="77777777" w:rsidR="00DD4BA1" w:rsidRDefault="00DD4BA1" w:rsidP="00B2414A">
      <w:pPr>
        <w:pStyle w:val="MainTextBody"/>
      </w:pPr>
      <w:r>
        <w:t>This refers to the person who was arrested during the pretrial release period for at least one violent offense that carries a potential penalty of incarceration. The arrest can happen through a custodial arrest or through a citation/summons and must be for an offense that allegedly occurred during the pretrial release period. The NVCA outcome must be for an offense that is on your jurisdiction’s PSA Violent Offense List.</w:t>
      </w:r>
    </w:p>
    <w:p w14:paraId="33F93E6C" w14:textId="77777777" w:rsidR="00DD4BA1" w:rsidRDefault="00DD4BA1" w:rsidP="00B2414A">
      <w:pPr>
        <w:pStyle w:val="MainTextBody"/>
      </w:pPr>
      <w:r>
        <w:t>When a person is assessed with the PSA, they receive scores for these three pretrial outcomes. It is critical to have a common understanding of these outcomes when you implement the PSA. As discussed in more detail in the Guide to Outcomes and Oversight, you will want to measure these outcomes to determine whether the people assessed with the PSA are behaving consistently with their assessment. For example, do people assessed with the various PSA scores have actual success rates that are close to the predicted rates? Assessing the three outcomes of people who are released allows jurisdictions to calculate aggregated performance measures for their monthly or annual pretrial reports and to collect data for the statistical analyses used to validate the PSA for the local population.</w:t>
      </w:r>
      <w:r>
        <w:drawing>
          <wp:anchor distT="0" distB="0" distL="114300" distR="114300" simplePos="0" relativeHeight="251659264" behindDoc="0" locked="0" layoutInCell="1" hidden="0" allowOverlap="1" wp14:anchorId="7BDC7751" wp14:editId="53DA6692">
            <wp:simplePos x="0" y="0"/>
            <wp:positionH relativeFrom="page">
              <wp:posOffset>914400</wp:posOffset>
            </wp:positionH>
            <wp:positionV relativeFrom="page">
              <wp:posOffset>9034145</wp:posOffset>
            </wp:positionV>
            <wp:extent cx="813816" cy="265176"/>
            <wp:effectExtent l="0" t="0" r="0" b="0"/>
            <wp:wrapNone/>
            <wp:docPr id="36"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sign&#10;&#10;Description automatically generated"/>
                    <pic:cNvPicPr preferRelativeResize="0"/>
                  </pic:nvPicPr>
                  <pic:blipFill>
                    <a:blip r:embed="rId11"/>
                    <a:srcRect/>
                    <a:stretch>
                      <a:fillRect/>
                    </a:stretch>
                  </pic:blipFill>
                  <pic:spPr>
                    <a:xfrm>
                      <a:off x="0" y="0"/>
                      <a:ext cx="813816" cy="265176"/>
                    </a:xfrm>
                    <a:prstGeom prst="rect">
                      <a:avLst/>
                    </a:prstGeom>
                    <a:ln/>
                  </pic:spPr>
                </pic:pic>
              </a:graphicData>
            </a:graphic>
          </wp:anchor>
        </w:drawing>
      </w:r>
      <w:r>
        <mc:AlternateContent>
          <mc:Choice Requires="wps">
            <w:drawing>
              <wp:anchor distT="0" distB="0" distL="0" distR="0" simplePos="0" relativeHeight="251660288" behindDoc="1" locked="0" layoutInCell="1" hidden="0" allowOverlap="1" wp14:anchorId="7C9DCA86" wp14:editId="4C6F6E91">
                <wp:simplePos x="0" y="0"/>
                <wp:positionH relativeFrom="page">
                  <wp:posOffset>1856105</wp:posOffset>
                </wp:positionH>
                <wp:positionV relativeFrom="page">
                  <wp:posOffset>9008111</wp:posOffset>
                </wp:positionV>
                <wp:extent cx="5024120" cy="481330"/>
                <wp:effectExtent l="0" t="0" r="0" b="0"/>
                <wp:wrapNone/>
                <wp:docPr id="34" name="Rectangle 34"/>
                <wp:cNvGraphicFramePr/>
                <a:graphic xmlns:a="http://schemas.openxmlformats.org/drawingml/2006/main">
                  <a:graphicData uri="http://schemas.microsoft.com/office/word/2010/wordprocessingShape">
                    <wps:wsp>
                      <wps:cNvSpPr/>
                      <wps:spPr>
                        <a:xfrm>
                          <a:off x="2843465" y="3548860"/>
                          <a:ext cx="5005070" cy="462280"/>
                        </a:xfrm>
                        <a:prstGeom prst="rect">
                          <a:avLst/>
                        </a:prstGeom>
                        <a:solidFill>
                          <a:srgbClr val="FFFFFF"/>
                        </a:solidFill>
                        <a:ln>
                          <a:noFill/>
                        </a:ln>
                      </wps:spPr>
                      <wps:txbx>
                        <w:txbxContent>
                          <w:p w14:paraId="2E2BF72A" w14:textId="09B50F16" w:rsidR="00DD4BA1" w:rsidRDefault="00DD4BA1" w:rsidP="00AD673A">
                            <w:pPr>
                              <w:pStyle w:val="CopyrightText"/>
                            </w:pPr>
                            <w:r>
                              <w:t>© 2022 Laura an</w:t>
                            </w:r>
                            <w:r w:rsidRPr="00AD673A">
                              <w:t>d John Arnold Foun</w:t>
                            </w:r>
                            <w:r>
                              <w:t>dation, supported by Arnold Ventures. Your use of the Public Safety Assessment</w:t>
                            </w:r>
                            <w:r>
                              <w:rPr>
                                <w:vertAlign w:val="superscript"/>
                              </w:rPr>
                              <w:t>TM</w:t>
                            </w:r>
                            <w:r>
                              <w:t xml:space="preserve"> (PSA) is subject to applicable Terms and Conditions, including compliance with the PSA Core Requirements, available at </w:t>
                            </w:r>
                            <w:hyperlink r:id="rId12" w:history="1">
                              <w:r w:rsidRPr="008E6F79">
                                <w:rPr>
                                  <w:rStyle w:val="Hyperlink"/>
                                  <w:rFonts w:eastAsiaTheme="minorHAnsi" w:cs="Times New Roman (Body CS)"/>
                                  <w:szCs w:val="22"/>
                                </w:rPr>
                                <w:t>advancingpretrial.org/terms</w:t>
                              </w:r>
                            </w:hyperlink>
                            <w:r>
                              <w:t>.</w:t>
                            </w:r>
                          </w:p>
                          <w:p w14:paraId="67B5C126" w14:textId="77777777" w:rsidR="00DD4BA1" w:rsidRDefault="00DD4BA1" w:rsidP="00DD4BA1">
                            <w:pPr>
                              <w:spacing w:line="264" w:lineRule="auto"/>
                              <w:textDirection w:val="btLr"/>
                            </w:pPr>
                          </w:p>
                        </w:txbxContent>
                      </wps:txbx>
                      <wps:bodyPr spcFirstLastPara="1" wrap="square" lIns="0" tIns="0" rIns="0" bIns="0" anchor="t" anchorCtr="0">
                        <a:noAutofit/>
                      </wps:bodyPr>
                    </wps:wsp>
                  </a:graphicData>
                </a:graphic>
              </wp:anchor>
            </w:drawing>
          </mc:Choice>
          <mc:Fallback>
            <w:pict>
              <v:rect w14:anchorId="7C9DCA86" id="Rectangle 34" o:spid="_x0000_s1026" style="position:absolute;margin-left:146.15pt;margin-top:709.3pt;width:395.6pt;height:37.9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" stroked="f">
                <v:textbox inset="0,0,0,0">
                  <w:txbxContent>
                    <w:p w14:paraId="2E2BF72A" w14:textId="09B50F16" w:rsidR="00DD4BA1" w:rsidRDefault="00DD4BA1" w:rsidP="00AD673A">
                      <w:pPr>
                        <w:pStyle w:val="CopyrightText"/>
                      </w:pPr>
                      <w:r>
                        <w:t>© 2022 Laura an</w:t>
                      </w:r>
                      <w:r w:rsidRPr="00AD673A">
                        <w:t>d John Arnold Foun</w:t>
                      </w:r>
                      <w:r>
                        <w:t xml:space="preserve">dation, supported by Arnold Ventures. Your use of the Public Safety </w:t>
                      </w:r>
                      <w:proofErr w:type="spellStart"/>
                      <w:r>
                        <w:t>Assessment</w:t>
                      </w:r>
                      <w:r>
                        <w:rPr>
                          <w:vertAlign w:val="superscript"/>
                        </w:rPr>
                        <w:t>TM</w:t>
                      </w:r>
                      <w:proofErr w:type="spellEnd"/>
                      <w:r>
                        <w:t xml:space="preserve"> (PSA) is subject to applicable Terms and Conditions, including compliance with the PSA Core Requirements, available at </w:t>
                      </w:r>
                      <w:hyperlink r:id="rId13" w:history="1">
                        <w:r w:rsidRPr="008E6F79">
                          <w:rPr>
                            <w:rStyle w:val="Hyperlink"/>
                            <w:rFonts w:eastAsiaTheme="minorHAnsi" w:cs="Times New Roman (Body CS)"/>
                            <w:szCs w:val="22"/>
                          </w:rPr>
                          <w:t>advanci</w:t>
                        </w:r>
                        <w:r w:rsidRPr="008E6F79">
                          <w:rPr>
                            <w:rStyle w:val="Hyperlink"/>
                            <w:rFonts w:eastAsiaTheme="minorHAnsi" w:cs="Times New Roman (Body CS)"/>
                            <w:szCs w:val="22"/>
                          </w:rPr>
                          <w:t>n</w:t>
                        </w:r>
                        <w:r w:rsidRPr="008E6F79">
                          <w:rPr>
                            <w:rStyle w:val="Hyperlink"/>
                            <w:rFonts w:eastAsiaTheme="minorHAnsi" w:cs="Times New Roman (Body CS)"/>
                            <w:szCs w:val="22"/>
                          </w:rPr>
                          <w:t>gpretrial.org/terms</w:t>
                        </w:r>
                      </w:hyperlink>
                      <w:r>
                        <w:t>.</w:t>
                      </w:r>
                    </w:p>
                    <w:p w14:paraId="67B5C126" w14:textId="77777777" w:rsidR="00DD4BA1" w:rsidRDefault="00DD4BA1" w:rsidP="00DD4BA1">
                      <w:pPr>
                        <w:spacing w:line="264" w:lineRule="auto"/>
                        <w:textDirection w:val="btLr"/>
                      </w:pPr>
                    </w:p>
                  </w:txbxContent>
                </v:textbox>
                <w10:wrap anchorx="page" anchory="page"/>
              </v:rect>
            </w:pict>
          </mc:Fallback>
        </mc:AlternateContent>
      </w:r>
      <w:r>
        <w:drawing>
          <wp:anchor distT="0" distB="0" distL="114300" distR="114300" simplePos="0" relativeHeight="251661312" behindDoc="0" locked="0" layoutInCell="1" hidden="0" allowOverlap="1" wp14:anchorId="69F17C20" wp14:editId="7033D474">
            <wp:simplePos x="0" y="0"/>
            <wp:positionH relativeFrom="page">
              <wp:posOffset>914400</wp:posOffset>
            </wp:positionH>
            <wp:positionV relativeFrom="page">
              <wp:posOffset>9034145</wp:posOffset>
            </wp:positionV>
            <wp:extent cx="813816" cy="265176"/>
            <wp:effectExtent l="0" t="0" r="0" b="0"/>
            <wp:wrapNone/>
            <wp:docPr id="38" name="image3.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close up of a sign&#10;&#10;Description automatically generated"/>
                    <pic:cNvPicPr preferRelativeResize="0"/>
                  </pic:nvPicPr>
                  <pic:blipFill>
                    <a:blip r:embed="rId14"/>
                    <a:srcRect/>
                    <a:stretch>
                      <a:fillRect/>
                    </a:stretch>
                  </pic:blipFill>
                  <pic:spPr>
                    <a:xfrm>
                      <a:off x="0" y="0"/>
                      <a:ext cx="813816" cy="265176"/>
                    </a:xfrm>
                    <a:prstGeom prst="rect">
                      <a:avLst/>
                    </a:prstGeom>
                    <a:ln/>
                  </pic:spPr>
                </pic:pic>
              </a:graphicData>
            </a:graphic>
          </wp:anchor>
        </w:drawing>
      </w:r>
    </w:p>
    <w:sectPr w:rsidR="00DD4BA1" w:rsidSect="000A2BF6">
      <w:headerReference w:type="even" r:id="rId15"/>
      <w:headerReference w:type="default" r:id="rId16"/>
      <w:footerReference w:type="even" r:id="rId17"/>
      <w:footerReference w:type="default" r:id="rId18"/>
      <w:headerReference w:type="first" r:id="rId19"/>
      <w:footerReference w:type="first" r:id="rId20"/>
      <w:pgSz w:w="12240" w:h="15840" w:code="1"/>
      <w:pgMar w:top="2160" w:right="1440" w:bottom="806" w:left="1440" w:header="1008"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7D2DC" w14:textId="77777777" w:rsidR="00E05B9F" w:rsidRDefault="00E05B9F" w:rsidP="00891B7C">
      <w:r>
        <w:separator/>
      </w:r>
    </w:p>
  </w:endnote>
  <w:endnote w:type="continuationSeparator" w:id="0">
    <w:p w14:paraId="331F5E0E" w14:textId="77777777" w:rsidR="00E05B9F" w:rsidRDefault="00E05B9F" w:rsidP="00891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D92EF742-3827-B647-9764-E97E2232E0C6}"/>
  </w:font>
  <w:font w:name="Times New Roman">
    <w:panose1 w:val="02020603050405020304"/>
    <w:charset w:val="00"/>
    <w:family w:val="roman"/>
    <w:pitch w:val="variable"/>
    <w:sig w:usb0="E0002EFF" w:usb1="C000785B" w:usb2="00000009" w:usb3="00000000" w:csb0="000001FF" w:csb1="00000000"/>
    <w:embedRegular r:id="rId2" w:fontKey="{556533DE-D91D-2345-AA75-92EA3C04037C}"/>
    <w:embedBold r:id="rId3" w:fontKey="{27A1817B-0D05-E740-99C9-3D63CE7CB4BF}"/>
    <w:embedItalic r:id="rId4" w:fontKey="{CE061574-4280-5E44-8C43-45E5BBF43122}"/>
    <w:embedBoldItalic r:id="rId5" w:fontKey="{B750C63E-AABD-0F41-B522-9A0624A43680}"/>
  </w:font>
  <w:font w:name="Courier New">
    <w:panose1 w:val="02070309020205020404"/>
    <w:charset w:val="00"/>
    <w:family w:val="modern"/>
    <w:pitch w:val="fixed"/>
    <w:sig w:usb0="E0002EFF" w:usb1="C0007843" w:usb2="00000009" w:usb3="00000000" w:csb0="000001FF" w:csb1="00000000"/>
    <w:embedRegular r:id="rId6" w:fontKey="{C688C554-1E4B-914E-AFBC-6C19A4CD5551}"/>
  </w:font>
  <w:font w:name="Wingdings">
    <w:panose1 w:val="05000000000000000000"/>
    <w:charset w:val="00"/>
    <w:family w:val="decorative"/>
    <w:pitch w:val="variable"/>
    <w:sig w:usb0="00000003" w:usb1="00000000" w:usb2="00000000" w:usb3="00000000" w:csb0="80000001" w:csb1="00000000"/>
    <w:embedRegular r:id="rId7" w:fontKey="{A30EEEFD-5B24-EA44-BC54-F6B54F2F4328}"/>
  </w:font>
  <w:font w:name="Arial">
    <w:panose1 w:val="020B0604020202020204"/>
    <w:charset w:val="00"/>
    <w:family w:val="swiss"/>
    <w:pitch w:val="variable"/>
    <w:sig w:usb0="E0002AFF" w:usb1="C0007843" w:usb2="00000009" w:usb3="00000000" w:csb0="000001FF" w:csb1="00000000"/>
    <w:embedRegular r:id="rId8" w:fontKey="{944DE4DD-839E-C843-8BB3-5639F0354348}"/>
    <w:embedBold r:id="rId9" w:fontKey="{075653A9-CEF5-C64F-A0BD-5108976DFA30}"/>
    <w:embedItalic r:id="rId10" w:fontKey="{FFAEDDCF-8943-464C-B0A4-5D0F6AAA2D6F}"/>
    <w:embedBoldItalic r:id="rId11" w:fontKey="{A2AA305A-DB3D-F349-A633-E7D1DF940D2C}"/>
  </w:font>
  <w:font w:name="Noto Sans Symbols">
    <w:altName w:val="Calibri"/>
    <w:panose1 w:val="020B0604020202020204"/>
    <w:charset w:val="00"/>
    <w:family w:val="swiss"/>
    <w:pitch w:val="variable"/>
    <w:sig w:usb0="E00082FF" w:usb1="400078FF" w:usb2="00000021" w:usb3="00000000" w:csb0="0000019F" w:csb1="00000000"/>
    <w:embedRegular r:id="rId12" w:fontKey="{0076B7EC-D53E-A043-A97C-C5B857730B20}"/>
  </w:font>
  <w:font w:name="Nunito Sans ExtraBold">
    <w:panose1 w:val="020B0604020202020204"/>
    <w:charset w:val="4D"/>
    <w:family w:val="auto"/>
    <w:pitch w:val="variable"/>
    <w:sig w:usb0="A00002FF" w:usb1="5000204B" w:usb2="00000000" w:usb3="00000000" w:csb0="00000197" w:csb1="00000000"/>
  </w:font>
  <w:font w:name="Arial (Headings)">
    <w:altName w:val="Arial"/>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5" w:fontKey="{30FD0C8B-CE3E-E647-AA1C-EB9F11378A00}"/>
    <w:embedBold r:id="rId16" w:fontKey="{BFBF7A06-F4B9-804A-ACC5-490DAAD2F339}"/>
  </w:font>
  <w:font w:name="Nunito Sans SemiBold">
    <w:panose1 w:val="020B0604020202020204"/>
    <w:charset w:val="4D"/>
    <w:family w:val="auto"/>
    <w:pitch w:val="variable"/>
    <w:sig w:usb0="A00002FF" w:usb1="5000204B" w:usb2="00000000" w:usb3="00000000" w:csb0="00000197" w:csb1="00000000"/>
  </w:font>
  <w:font w:name="Nunito Sans">
    <w:panose1 w:val="020B0604020202020204"/>
    <w:charset w:val="4D"/>
    <w:family w:val="auto"/>
    <w:pitch w:val="variable"/>
    <w:sig w:usb0="A00002FF" w:usb1="5000204B" w:usb2="00000000" w:usb3="00000000" w:csb0="00000197" w:csb1="00000000"/>
    <w:embedRegular r:id="rId17" w:fontKey="{46B2A99D-256E-9C47-B710-DC0137F39CE7}"/>
    <w:embedItalic r:id="rId18" w:fontKey="{4CDAD613-EFE9-2C42-9958-1A8326A319CD}"/>
  </w:font>
  <w:font w:name="Times New Roman (Body CS)">
    <w:altName w:val="Times New Roman"/>
    <w:panose1 w:val="020B0604020202020204"/>
    <w:charset w:val="00"/>
    <w:family w:val="roman"/>
    <w:notTrueType/>
    <w:pitch w:val="default"/>
  </w:font>
  <w:font w:name="Proxima Nova Rg">
    <w:altName w:val="Tahoma"/>
    <w:panose1 w:val="020B0604020202020204"/>
    <w:charset w:val="4D"/>
    <w:family w:val="auto"/>
    <w:notTrueType/>
    <w:pitch w:val="variable"/>
    <w:sig w:usb0="800000AF" w:usb1="5000E0FB" w:usb2="00000000" w:usb3="00000000" w:csb0="000001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410BF" w14:textId="77777777" w:rsidR="001D5DBA" w:rsidRDefault="001D5D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A22E6" w14:textId="77777777" w:rsidR="000A2BF6" w:rsidRDefault="000A2BF6" w:rsidP="000A2BF6">
    <w:pPr>
      <w:pStyle w:val="URLbottom"/>
      <w:tabs>
        <w:tab w:val="left" w:pos="450"/>
        <w:tab w:val="right" w:pos="9360"/>
      </w:tabs>
      <w:rPr>
        <w:b/>
        <w:sz w:val="20"/>
        <w:szCs w:val="36"/>
      </w:rPr>
    </w:pPr>
    <w:r w:rsidRPr="003C46D6">
      <mc:AlternateContent>
        <mc:Choice Requires="wps">
          <w:drawing>
            <wp:inline distT="0" distB="0" distL="0" distR="0" wp14:anchorId="6F35D6FD" wp14:editId="4667A19D">
              <wp:extent cx="5943600" cy="0"/>
              <wp:effectExtent l="0" t="0" r="12700" b="12700"/>
              <wp:docPr id="2" name="footer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3600" cy="0"/>
                      </a:xfrm>
                      <a:prstGeom prst="line">
                        <a:avLst/>
                      </a:prstGeom>
                      <a:noFill/>
                      <a:ln w="6350">
                        <a:solidFill>
                          <a:srgbClr val="878483"/>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A6C6AA0" id="footer line" o:spid="_x0000_s1026"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" strokecolor="#878483" strokeweight=".5pt">
              <v:stroke joinstyle="miter"/>
              <o:lock v:ext="edit" shapetype="f"/>
              <w10:anchorlock/>
            </v:line>
          </w:pict>
        </mc:Fallback>
      </mc:AlternateContent>
    </w:r>
  </w:p>
  <w:p w14:paraId="295BD217" w14:textId="32EA7BD0" w:rsidR="003C46D6" w:rsidRPr="000A2BF6" w:rsidRDefault="000A2BF6" w:rsidP="000A2BF6">
    <w:pPr>
      <w:pStyle w:val="URLbottom"/>
      <w:tabs>
        <w:tab w:val="left" w:pos="450"/>
        <w:tab w:val="right" w:pos="9360"/>
      </w:tabs>
      <w:rPr>
        <w:b/>
      </w:rPr>
    </w:pPr>
    <w:r w:rsidRPr="000A2BF6">
      <w:rPr>
        <w:b/>
        <w:sz w:val="20"/>
        <w:szCs w:val="36"/>
      </w:rPr>
      <w:fldChar w:fldCharType="begin"/>
    </w:r>
    <w:r w:rsidRPr="000A2BF6">
      <w:rPr>
        <w:b/>
        <w:sz w:val="20"/>
        <w:szCs w:val="36"/>
      </w:rPr>
      <w:instrText xml:space="preserve"> PAGE   \* MERGEFORMAT </w:instrText>
    </w:r>
    <w:r w:rsidRPr="000A2BF6">
      <w:rPr>
        <w:b/>
        <w:sz w:val="20"/>
        <w:szCs w:val="36"/>
      </w:rPr>
      <w:fldChar w:fldCharType="separate"/>
    </w:r>
    <w:r w:rsidRPr="000A2BF6">
      <w:rPr>
        <w:b/>
        <w:sz w:val="20"/>
        <w:szCs w:val="36"/>
      </w:rPr>
      <w:t>1</w:t>
    </w:r>
    <w:r w:rsidRPr="000A2BF6">
      <w:rPr>
        <w:sz w:val="20"/>
        <w:szCs w:val="36"/>
      </w:rPr>
      <w:fldChar w:fldCharType="end"/>
    </w:r>
    <w:r>
      <w:tab/>
      <w:t>advancingpretrial.org</w:t>
    </w:r>
    <w:r>
      <w:tab/>
    </w:r>
    <w:r w:rsidRPr="000A2BF6">
      <w:t>March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06CA5" w14:textId="77777777" w:rsidR="001D5DBA" w:rsidRDefault="001D5D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26DB7" w14:textId="77777777" w:rsidR="00E05B9F" w:rsidRDefault="00E05B9F" w:rsidP="003F4960">
      <w:r>
        <w:separator/>
      </w:r>
    </w:p>
  </w:footnote>
  <w:footnote w:type="continuationSeparator" w:id="0">
    <w:p w14:paraId="56942BE9" w14:textId="77777777" w:rsidR="00E05B9F" w:rsidRPr="008332C8" w:rsidRDefault="00E05B9F" w:rsidP="008332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C4483" w14:textId="77777777" w:rsidR="001D5DBA" w:rsidRDefault="001D5D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26789" w14:textId="54530732" w:rsidR="00801560" w:rsidRDefault="00DA6EEC" w:rsidP="00C46A70">
    <w:pPr>
      <w:tabs>
        <w:tab w:val="left" w:pos="8398"/>
        <w:tab w:val="left" w:pos="8882"/>
        <w:tab w:val="right" w:pos="9360"/>
      </w:tabs>
      <w:spacing w:line="240" w:lineRule="exact"/>
    </w:pPr>
    <w:r w:rsidRPr="003C46D6">
      <w:rPr>
        <w:noProof/>
      </w:rPr>
      <w:drawing>
        <wp:anchor distT="0" distB="0" distL="114300" distR="114300" simplePos="0" relativeHeight="251660288" behindDoc="0" locked="0" layoutInCell="1" allowOverlap="1" wp14:anchorId="6E9F1E85" wp14:editId="4CF542B4">
          <wp:simplePos x="0" y="0"/>
          <wp:positionH relativeFrom="column">
            <wp:posOffset>-313055</wp:posOffset>
          </wp:positionH>
          <wp:positionV relativeFrom="paragraph">
            <wp:posOffset>-22398</wp:posOffset>
          </wp:positionV>
          <wp:extent cx="2002155" cy="269240"/>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PPR_logo-06.png"/>
                  <pic:cNvPicPr/>
                </pic:nvPicPr>
                <pic:blipFill>
                  <a:blip r:embed="rId1">
                    <a:extLst>
                      <a:ext uri="{28A0092B-C50C-407E-A947-70E740481C1C}">
                        <a14:useLocalDpi xmlns:a14="http://schemas.microsoft.com/office/drawing/2010/main" val="0"/>
                      </a:ext>
                    </a:extLst>
                  </a:blip>
                  <a:stretch>
                    <a:fillRect/>
                  </a:stretch>
                </pic:blipFill>
                <pic:spPr>
                  <a:xfrm>
                    <a:off x="0" y="0"/>
                    <a:ext cx="2002155" cy="269240"/>
                  </a:xfrm>
                  <a:prstGeom prst="rect">
                    <a:avLst/>
                  </a:prstGeom>
                </pic:spPr>
              </pic:pic>
            </a:graphicData>
          </a:graphic>
          <wp14:sizeRelH relativeFrom="margin">
            <wp14:pctWidth>0</wp14:pctWidth>
          </wp14:sizeRelH>
          <wp14:sizeRelV relativeFrom="margin">
            <wp14:pctHeight>0</wp14:pctHeight>
          </wp14:sizeRelV>
        </wp:anchor>
      </w:drawing>
    </w:r>
    <w:r w:rsidR="003C46D6" w:rsidRPr="003C46D6">
      <w:rPr>
        <w:noProof/>
      </w:rPr>
      <mc:AlternateContent>
        <mc:Choice Requires="wps">
          <w:drawing>
            <wp:anchor distT="0" distB="0" distL="114300" distR="114300" simplePos="0" relativeHeight="251659264" behindDoc="1" locked="0" layoutInCell="0" allowOverlap="1" wp14:anchorId="7A5224CA" wp14:editId="0AD589BD">
              <wp:simplePos x="0" y="0"/>
              <wp:positionH relativeFrom="page">
                <wp:posOffset>457200</wp:posOffset>
              </wp:positionH>
              <wp:positionV relativeFrom="page">
                <wp:posOffset>455930</wp:posOffset>
              </wp:positionV>
              <wp:extent cx="6858000" cy="584835"/>
              <wp:effectExtent l="0" t="0" r="0" b="0"/>
              <wp:wrapNone/>
              <wp:docPr id="6" name="Top Blue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584835"/>
                      </a:xfrm>
                      <a:prstGeom prst="rect">
                        <a:avLst/>
                      </a:prstGeom>
                      <a:solidFill>
                        <a:srgbClr val="2D397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0D2D3" id="Top Blue Box" o:spid="_x0000_s1026" style="position:absolute;margin-left:36pt;margin-top:35.9pt;width:540pt;height:46.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" o:allowincell="f" fillcolor="#2d3976"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28D51" w14:textId="77777777" w:rsidR="001D5DBA" w:rsidRDefault="001D5D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B6E2A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17A529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CD04D7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064DD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83EA63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DEE01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BDE5C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A80F44"/>
    <w:lvl w:ilvl="0">
      <w:start w:val="1"/>
      <w:numFmt w:val="bullet"/>
      <w:pStyle w:val="ListBullet2"/>
      <w:lvlText w:val="o"/>
      <w:lvlJc w:val="left"/>
      <w:pPr>
        <w:ind w:left="1080" w:hanging="360"/>
      </w:pPr>
      <w:rPr>
        <w:rFonts w:ascii="Courier New" w:hAnsi="Courier New" w:cs="Courier New" w:hint="default"/>
      </w:rPr>
    </w:lvl>
  </w:abstractNum>
  <w:abstractNum w:abstractNumId="8" w15:restartNumberingAfterBreak="0">
    <w:nsid w:val="FFFFFF88"/>
    <w:multiLevelType w:val="singleLevel"/>
    <w:tmpl w:val="48ECDD1E"/>
    <w:lvl w:ilvl="0">
      <w:start w:val="1"/>
      <w:numFmt w:val="decimal"/>
      <w:pStyle w:val="ListNumber"/>
      <w:lvlText w:val="%1."/>
      <w:lvlJc w:val="left"/>
      <w:pPr>
        <w:ind w:left="720" w:hanging="360"/>
      </w:pPr>
    </w:lvl>
  </w:abstractNum>
  <w:abstractNum w:abstractNumId="9" w15:restartNumberingAfterBreak="0">
    <w:nsid w:val="10623D44"/>
    <w:multiLevelType w:val="hybridMultilevel"/>
    <w:tmpl w:val="C55282A4"/>
    <w:lvl w:ilvl="0" w:tplc="61D4684C">
      <w:start w:val="1"/>
      <w:numFmt w:val="bullet"/>
      <w:pStyle w:val="tablebulletsleveltwo"/>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31E270A"/>
    <w:multiLevelType w:val="multilevel"/>
    <w:tmpl w:val="8894FF84"/>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69623A3"/>
    <w:multiLevelType w:val="hybridMultilevel"/>
    <w:tmpl w:val="97D67E5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4952BB"/>
    <w:multiLevelType w:val="hybridMultilevel"/>
    <w:tmpl w:val="9FA0514E"/>
    <w:lvl w:ilvl="0" w:tplc="854AF890">
      <w:start w:val="1"/>
      <w:numFmt w:val="bullet"/>
      <w:pStyle w:val="tablebulletslevelon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905128"/>
    <w:multiLevelType w:val="hybridMultilevel"/>
    <w:tmpl w:val="7E32D962"/>
    <w:lvl w:ilvl="0" w:tplc="87F062F2">
      <w:start w:val="1"/>
      <w:numFmt w:val="bullet"/>
      <w:lvlText w:val=""/>
      <w:lvlJc w:val="left"/>
      <w:pPr>
        <w:ind w:left="540" w:hanging="360"/>
      </w:pPr>
      <w:rPr>
        <w:rFonts w:ascii="Symbol" w:hAnsi="Symbol" w:hint="default"/>
      </w:rPr>
    </w:lvl>
    <w:lvl w:ilvl="1" w:tplc="3D64A7F6" w:tentative="1">
      <w:start w:val="1"/>
      <w:numFmt w:val="bullet"/>
      <w:lvlText w:val="o"/>
      <w:lvlJc w:val="left"/>
      <w:pPr>
        <w:ind w:left="1620" w:hanging="360"/>
      </w:pPr>
      <w:rPr>
        <w:rFonts w:ascii="Courier New" w:hAnsi="Courier New" w:cs="Courier New" w:hint="default"/>
      </w:rPr>
    </w:lvl>
    <w:lvl w:ilvl="2" w:tplc="0322762E" w:tentative="1">
      <w:start w:val="1"/>
      <w:numFmt w:val="bullet"/>
      <w:lvlText w:val=""/>
      <w:lvlJc w:val="left"/>
      <w:pPr>
        <w:ind w:left="2340" w:hanging="360"/>
      </w:pPr>
      <w:rPr>
        <w:rFonts w:ascii="Wingdings" w:hAnsi="Wingdings" w:hint="default"/>
      </w:rPr>
    </w:lvl>
    <w:lvl w:ilvl="3" w:tplc="4C54BF28" w:tentative="1">
      <w:start w:val="1"/>
      <w:numFmt w:val="bullet"/>
      <w:lvlText w:val=""/>
      <w:lvlJc w:val="left"/>
      <w:pPr>
        <w:ind w:left="3060" w:hanging="360"/>
      </w:pPr>
      <w:rPr>
        <w:rFonts w:ascii="Symbol" w:hAnsi="Symbol" w:hint="default"/>
      </w:rPr>
    </w:lvl>
    <w:lvl w:ilvl="4" w:tplc="F360325C" w:tentative="1">
      <w:start w:val="1"/>
      <w:numFmt w:val="bullet"/>
      <w:lvlText w:val="o"/>
      <w:lvlJc w:val="left"/>
      <w:pPr>
        <w:ind w:left="3780" w:hanging="360"/>
      </w:pPr>
      <w:rPr>
        <w:rFonts w:ascii="Courier New" w:hAnsi="Courier New" w:cs="Courier New" w:hint="default"/>
      </w:rPr>
    </w:lvl>
    <w:lvl w:ilvl="5" w:tplc="6E4E0834" w:tentative="1">
      <w:start w:val="1"/>
      <w:numFmt w:val="bullet"/>
      <w:lvlText w:val=""/>
      <w:lvlJc w:val="left"/>
      <w:pPr>
        <w:ind w:left="4500" w:hanging="360"/>
      </w:pPr>
      <w:rPr>
        <w:rFonts w:ascii="Wingdings" w:hAnsi="Wingdings" w:hint="default"/>
      </w:rPr>
    </w:lvl>
    <w:lvl w:ilvl="6" w:tplc="33104CC8" w:tentative="1">
      <w:start w:val="1"/>
      <w:numFmt w:val="bullet"/>
      <w:lvlText w:val=""/>
      <w:lvlJc w:val="left"/>
      <w:pPr>
        <w:ind w:left="5220" w:hanging="360"/>
      </w:pPr>
      <w:rPr>
        <w:rFonts w:ascii="Symbol" w:hAnsi="Symbol" w:hint="default"/>
      </w:rPr>
    </w:lvl>
    <w:lvl w:ilvl="7" w:tplc="2B6047BE" w:tentative="1">
      <w:start w:val="1"/>
      <w:numFmt w:val="bullet"/>
      <w:lvlText w:val="o"/>
      <w:lvlJc w:val="left"/>
      <w:pPr>
        <w:ind w:left="5940" w:hanging="360"/>
      </w:pPr>
      <w:rPr>
        <w:rFonts w:ascii="Courier New" w:hAnsi="Courier New" w:cs="Courier New" w:hint="default"/>
      </w:rPr>
    </w:lvl>
    <w:lvl w:ilvl="8" w:tplc="96D27BB2" w:tentative="1">
      <w:start w:val="1"/>
      <w:numFmt w:val="bullet"/>
      <w:lvlText w:val=""/>
      <w:lvlJc w:val="left"/>
      <w:pPr>
        <w:ind w:left="6660" w:hanging="360"/>
      </w:pPr>
      <w:rPr>
        <w:rFonts w:ascii="Wingdings" w:hAnsi="Wingdings" w:hint="default"/>
      </w:rPr>
    </w:lvl>
  </w:abstractNum>
  <w:abstractNum w:abstractNumId="14" w15:restartNumberingAfterBreak="0">
    <w:nsid w:val="297E7757"/>
    <w:multiLevelType w:val="hybridMultilevel"/>
    <w:tmpl w:val="2A00B14C"/>
    <w:lvl w:ilvl="0" w:tplc="31FAAE9A">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5" w15:restartNumberingAfterBreak="0">
    <w:nsid w:val="2CEC1133"/>
    <w:multiLevelType w:val="multilevel"/>
    <w:tmpl w:val="7A06B416"/>
    <w:lvl w:ilvl="0">
      <w:start w:val="1"/>
      <w:numFmt w:val="decimal"/>
      <w:suff w:val="space"/>
      <w:lvlText w:val="%1."/>
      <w:lvlJc w:val="left"/>
      <w:pPr>
        <w:ind w:left="144" w:hanging="144"/>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9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6" w15:restartNumberingAfterBreak="0">
    <w:nsid w:val="2D734C1B"/>
    <w:multiLevelType w:val="multilevel"/>
    <w:tmpl w:val="6C9E62FA"/>
    <w:styleLink w:val="numberedlist"/>
    <w:lvl w:ilvl="0">
      <w:start w:val="1"/>
      <w:numFmt w:val="decimal"/>
      <w:lvlText w:val="%1."/>
      <w:lvlJc w:val="left"/>
      <w:pPr>
        <w:ind w:left="1440" w:hanging="360"/>
      </w:pPr>
      <w:rPr>
        <w:rFonts w:asciiTheme="majorHAnsi" w:hAnsiTheme="majorHAnsi" w:hint="default"/>
      </w:rPr>
    </w:lvl>
    <w:lvl w:ilvl="1">
      <w:start w:val="1"/>
      <w:numFmt w:val="decimal"/>
      <w:lvlText w:val="%2.1"/>
      <w:lvlJc w:val="left"/>
      <w:pPr>
        <w:ind w:left="1800" w:hanging="360"/>
      </w:pPr>
      <w:rPr>
        <w:rFonts w:asciiTheme="majorHAnsi" w:hAnsiTheme="majorHAnsi" w:hint="default"/>
        <w:sz w:val="22"/>
      </w:rPr>
    </w:lvl>
    <w:lvl w:ilvl="2">
      <w:start w:val="1"/>
      <w:numFmt w:val="decimal"/>
      <w:lvlText w:val="%3.11"/>
      <w:lvlJc w:val="left"/>
      <w:pPr>
        <w:ind w:left="2160" w:hanging="360"/>
      </w:pPr>
      <w:rPr>
        <w:rFonts w:asciiTheme="majorHAnsi" w:hAnsiTheme="majorHAnsi" w:hint="default"/>
        <w:b w:val="0"/>
        <w:i/>
        <w:color w:val="auto"/>
        <w:sz w:val="20"/>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7" w15:restartNumberingAfterBreak="0">
    <w:nsid w:val="30D2136B"/>
    <w:multiLevelType w:val="multilevel"/>
    <w:tmpl w:val="FD1CCB02"/>
    <w:lvl w:ilvl="0">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7E05BD9"/>
    <w:multiLevelType w:val="multilevel"/>
    <w:tmpl w:val="1F2057C0"/>
    <w:styleLink w:val="headingsosf"/>
    <w:lvl w:ilvl="0">
      <w:start w:val="1"/>
      <w:numFmt w:val="decimal"/>
      <w:lvlText w:val="%1."/>
      <w:lvlJc w:val="left"/>
      <w:pPr>
        <w:tabs>
          <w:tab w:val="num" w:pos="540"/>
        </w:tabs>
        <w:ind w:left="540" w:hanging="540"/>
      </w:pPr>
      <w:rPr>
        <w:rFonts w:hint="default"/>
      </w:rPr>
    </w:lvl>
    <w:lvl w:ilvl="1">
      <w:start w:val="1"/>
      <w:numFmt w:val="decimal"/>
      <w:lvlText w:val="%2.%1"/>
      <w:lvlJc w:val="left"/>
      <w:pPr>
        <w:tabs>
          <w:tab w:val="num" w:pos="864"/>
        </w:tabs>
        <w:ind w:left="864" w:hanging="864"/>
      </w:pPr>
      <w:rPr>
        <w:rFonts w:hint="default"/>
      </w:rPr>
    </w:lvl>
    <w:lvl w:ilvl="2">
      <w:start w:val="1"/>
      <w:numFmt w:val="decimal"/>
      <w:lvlText w:val="%3.%21"/>
      <w:lvlJc w:val="left"/>
      <w:pPr>
        <w:tabs>
          <w:tab w:val="num" w:pos="1051"/>
        </w:tabs>
        <w:ind w:left="1051" w:hanging="1051"/>
      </w:pPr>
      <w:rPr>
        <w:rFonts w:hint="default"/>
      </w:rPr>
    </w:lvl>
    <w:lvl w:ilvl="3">
      <w:start w:val="1"/>
      <w:numFmt w:val="none"/>
      <w:lvlText w:val=""/>
      <w:lvlJc w:val="left"/>
      <w:pPr>
        <w:tabs>
          <w:tab w:val="num" w:pos="1008"/>
        </w:tabs>
        <w:ind w:left="720" w:hanging="720"/>
      </w:pPr>
      <w:rPr>
        <w:rFonts w:hint="default"/>
      </w:rPr>
    </w:lvl>
    <w:lvl w:ilvl="4">
      <w:start w:val="1"/>
      <w:numFmt w:val="none"/>
      <w:lvlText w:val=""/>
      <w:lvlJc w:val="left"/>
      <w:pPr>
        <w:tabs>
          <w:tab w:val="num" w:pos="1008"/>
        </w:tabs>
        <w:ind w:left="720" w:hanging="720"/>
      </w:pPr>
      <w:rPr>
        <w:rFonts w:hint="default"/>
      </w:rPr>
    </w:lvl>
    <w:lvl w:ilvl="5">
      <w:start w:val="1"/>
      <w:numFmt w:val="none"/>
      <w:lvlText w:val=""/>
      <w:lvlJc w:val="left"/>
      <w:pPr>
        <w:tabs>
          <w:tab w:val="num" w:pos="1008"/>
        </w:tabs>
        <w:ind w:left="720" w:hanging="720"/>
      </w:pPr>
      <w:rPr>
        <w:rFonts w:hint="default"/>
      </w:rPr>
    </w:lvl>
    <w:lvl w:ilvl="6">
      <w:start w:val="1"/>
      <w:numFmt w:val="none"/>
      <w:lvlText w:val=""/>
      <w:lvlJc w:val="left"/>
      <w:pPr>
        <w:tabs>
          <w:tab w:val="num" w:pos="1008"/>
        </w:tabs>
        <w:ind w:left="720" w:hanging="720"/>
      </w:pPr>
      <w:rPr>
        <w:rFonts w:hint="default"/>
      </w:rPr>
    </w:lvl>
    <w:lvl w:ilvl="7">
      <w:start w:val="1"/>
      <w:numFmt w:val="none"/>
      <w:lvlText w:val=""/>
      <w:lvlJc w:val="left"/>
      <w:pPr>
        <w:tabs>
          <w:tab w:val="num" w:pos="1008"/>
        </w:tabs>
        <w:ind w:left="720" w:hanging="720"/>
      </w:pPr>
      <w:rPr>
        <w:rFonts w:hint="default"/>
      </w:rPr>
    </w:lvl>
    <w:lvl w:ilvl="8">
      <w:start w:val="1"/>
      <w:numFmt w:val="none"/>
      <w:lvlText w:val=""/>
      <w:lvlJc w:val="left"/>
      <w:pPr>
        <w:tabs>
          <w:tab w:val="num" w:pos="1008"/>
        </w:tabs>
        <w:ind w:left="720" w:hanging="720"/>
      </w:pPr>
      <w:rPr>
        <w:rFonts w:hint="default"/>
      </w:rPr>
    </w:lvl>
  </w:abstractNum>
  <w:abstractNum w:abstractNumId="19" w15:restartNumberingAfterBreak="0">
    <w:nsid w:val="3A8C5B81"/>
    <w:multiLevelType w:val="multilevel"/>
    <w:tmpl w:val="42D697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2834D95"/>
    <w:multiLevelType w:val="hybridMultilevel"/>
    <w:tmpl w:val="96D87DCE"/>
    <w:lvl w:ilvl="0" w:tplc="AE58EC18">
      <w:start w:val="1"/>
      <w:numFmt w:val="bullet"/>
      <w:lvlText w:val=""/>
      <w:lvlJc w:val="left"/>
      <w:pPr>
        <w:ind w:left="835" w:hanging="360"/>
      </w:pPr>
      <w:rPr>
        <w:rFonts w:ascii="Symbol" w:hAnsi="Symbol" w:hint="default"/>
      </w:rPr>
    </w:lvl>
    <w:lvl w:ilvl="1" w:tplc="1180A1F2" w:tentative="1">
      <w:start w:val="1"/>
      <w:numFmt w:val="bullet"/>
      <w:lvlText w:val="o"/>
      <w:lvlJc w:val="left"/>
      <w:pPr>
        <w:ind w:left="1555" w:hanging="360"/>
      </w:pPr>
      <w:rPr>
        <w:rFonts w:ascii="Courier New" w:hAnsi="Courier New" w:cs="Courier New" w:hint="default"/>
      </w:rPr>
    </w:lvl>
    <w:lvl w:ilvl="2" w:tplc="654A3F30" w:tentative="1">
      <w:start w:val="1"/>
      <w:numFmt w:val="bullet"/>
      <w:lvlText w:val=""/>
      <w:lvlJc w:val="left"/>
      <w:pPr>
        <w:ind w:left="2275" w:hanging="360"/>
      </w:pPr>
      <w:rPr>
        <w:rFonts w:ascii="Wingdings" w:hAnsi="Wingdings" w:hint="default"/>
      </w:rPr>
    </w:lvl>
    <w:lvl w:ilvl="3" w:tplc="8B862938" w:tentative="1">
      <w:start w:val="1"/>
      <w:numFmt w:val="bullet"/>
      <w:lvlText w:val=""/>
      <w:lvlJc w:val="left"/>
      <w:pPr>
        <w:ind w:left="2995" w:hanging="360"/>
      </w:pPr>
      <w:rPr>
        <w:rFonts w:ascii="Symbol" w:hAnsi="Symbol" w:hint="default"/>
      </w:rPr>
    </w:lvl>
    <w:lvl w:ilvl="4" w:tplc="A6B614B0" w:tentative="1">
      <w:start w:val="1"/>
      <w:numFmt w:val="bullet"/>
      <w:lvlText w:val="o"/>
      <w:lvlJc w:val="left"/>
      <w:pPr>
        <w:ind w:left="3715" w:hanging="360"/>
      </w:pPr>
      <w:rPr>
        <w:rFonts w:ascii="Courier New" w:hAnsi="Courier New" w:cs="Courier New" w:hint="default"/>
      </w:rPr>
    </w:lvl>
    <w:lvl w:ilvl="5" w:tplc="108416EE" w:tentative="1">
      <w:start w:val="1"/>
      <w:numFmt w:val="bullet"/>
      <w:lvlText w:val=""/>
      <w:lvlJc w:val="left"/>
      <w:pPr>
        <w:ind w:left="4435" w:hanging="360"/>
      </w:pPr>
      <w:rPr>
        <w:rFonts w:ascii="Wingdings" w:hAnsi="Wingdings" w:hint="default"/>
      </w:rPr>
    </w:lvl>
    <w:lvl w:ilvl="6" w:tplc="29FCF81A" w:tentative="1">
      <w:start w:val="1"/>
      <w:numFmt w:val="bullet"/>
      <w:lvlText w:val=""/>
      <w:lvlJc w:val="left"/>
      <w:pPr>
        <w:ind w:left="5155" w:hanging="360"/>
      </w:pPr>
      <w:rPr>
        <w:rFonts w:ascii="Symbol" w:hAnsi="Symbol" w:hint="default"/>
      </w:rPr>
    </w:lvl>
    <w:lvl w:ilvl="7" w:tplc="9F70197A" w:tentative="1">
      <w:start w:val="1"/>
      <w:numFmt w:val="bullet"/>
      <w:lvlText w:val="o"/>
      <w:lvlJc w:val="left"/>
      <w:pPr>
        <w:ind w:left="5875" w:hanging="360"/>
      </w:pPr>
      <w:rPr>
        <w:rFonts w:ascii="Courier New" w:hAnsi="Courier New" w:cs="Courier New" w:hint="default"/>
      </w:rPr>
    </w:lvl>
    <w:lvl w:ilvl="8" w:tplc="BB4E2D36" w:tentative="1">
      <w:start w:val="1"/>
      <w:numFmt w:val="bullet"/>
      <w:lvlText w:val=""/>
      <w:lvlJc w:val="left"/>
      <w:pPr>
        <w:ind w:left="6595" w:hanging="360"/>
      </w:pPr>
      <w:rPr>
        <w:rFonts w:ascii="Wingdings" w:hAnsi="Wingdings" w:hint="default"/>
      </w:rPr>
    </w:lvl>
  </w:abstractNum>
  <w:abstractNum w:abstractNumId="21" w15:restartNumberingAfterBreak="0">
    <w:nsid w:val="47816B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E821BAF"/>
    <w:multiLevelType w:val="hybridMultilevel"/>
    <w:tmpl w:val="E8C0CD5C"/>
    <w:lvl w:ilvl="0" w:tplc="B9103C02">
      <w:start w:val="1"/>
      <w:numFmt w:val="bullet"/>
      <w:lvlText w:val=""/>
      <w:lvlJc w:val="left"/>
      <w:pPr>
        <w:ind w:left="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DE24AA"/>
    <w:multiLevelType w:val="hybridMultilevel"/>
    <w:tmpl w:val="6F2C8E9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51A01AF"/>
    <w:multiLevelType w:val="hybridMultilevel"/>
    <w:tmpl w:val="85768D90"/>
    <w:lvl w:ilvl="0" w:tplc="F63AA844">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3033EF"/>
    <w:multiLevelType w:val="hybridMultilevel"/>
    <w:tmpl w:val="32EE3602"/>
    <w:lvl w:ilvl="0" w:tplc="0AFA8F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D862EC"/>
    <w:multiLevelType w:val="multilevel"/>
    <w:tmpl w:val="660EA2B2"/>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60167DAA"/>
    <w:multiLevelType w:val="hybridMultilevel"/>
    <w:tmpl w:val="4F04C72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5C57A6"/>
    <w:multiLevelType w:val="hybridMultilevel"/>
    <w:tmpl w:val="9F74B6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690751A"/>
    <w:multiLevelType w:val="multilevel"/>
    <w:tmpl w:val="8894FF84"/>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A8A06EE"/>
    <w:multiLevelType w:val="multilevel"/>
    <w:tmpl w:val="8894FF84"/>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AC01BF3"/>
    <w:multiLevelType w:val="multilevel"/>
    <w:tmpl w:val="DA384DD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6B3F1746"/>
    <w:multiLevelType w:val="hybridMultilevel"/>
    <w:tmpl w:val="0A023A26"/>
    <w:lvl w:ilvl="0" w:tplc="219EF79C">
      <w:start w:val="1"/>
      <w:numFmt w:val="bullet"/>
      <w:pStyle w:val="BulletBody"/>
      <w:lvlText w:val=""/>
      <w:lvlJc w:val="left"/>
      <w:pPr>
        <w:ind w:left="432" w:hanging="216"/>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6C8E57B2"/>
    <w:multiLevelType w:val="hybridMultilevel"/>
    <w:tmpl w:val="FF2CD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8807F9"/>
    <w:multiLevelType w:val="hybridMultilevel"/>
    <w:tmpl w:val="9C2CB204"/>
    <w:lvl w:ilvl="0" w:tplc="10BA10FC">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F603F6"/>
    <w:multiLevelType w:val="multilevel"/>
    <w:tmpl w:val="3BCC82B8"/>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87C7E66"/>
    <w:multiLevelType w:val="hybridMultilevel"/>
    <w:tmpl w:val="B26440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9C5BBD"/>
    <w:multiLevelType w:val="multilevel"/>
    <w:tmpl w:val="360AADD6"/>
    <w:lvl w:ilvl="0">
      <w:start w:val="1"/>
      <w:numFmt w:val="bullet"/>
      <w:lvlText w:val="o"/>
      <w:lvlJc w:val="left"/>
      <w:pPr>
        <w:ind w:left="1080" w:hanging="360"/>
      </w:pPr>
      <w:rPr>
        <w:rFonts w:ascii="Courier New" w:eastAsia="Courier New" w:hAnsi="Courier New" w:cs="Courier New"/>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25975026">
    <w:abstractNumId w:val="10"/>
  </w:num>
  <w:num w:numId="2" w16cid:durableId="1093355534">
    <w:abstractNumId w:val="7"/>
  </w:num>
  <w:num w:numId="3" w16cid:durableId="424544749">
    <w:abstractNumId w:val="8"/>
  </w:num>
  <w:num w:numId="4" w16cid:durableId="1583639584">
    <w:abstractNumId w:val="22"/>
  </w:num>
  <w:num w:numId="5" w16cid:durableId="1170368809">
    <w:abstractNumId w:val="20"/>
  </w:num>
  <w:num w:numId="6" w16cid:durableId="771246991">
    <w:abstractNumId w:val="15"/>
  </w:num>
  <w:num w:numId="7" w16cid:durableId="41180526">
    <w:abstractNumId w:val="14"/>
  </w:num>
  <w:num w:numId="8" w16cid:durableId="725565943">
    <w:abstractNumId w:val="16"/>
  </w:num>
  <w:num w:numId="9" w16cid:durableId="374160758">
    <w:abstractNumId w:val="17"/>
  </w:num>
  <w:num w:numId="10" w16cid:durableId="3239003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576090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560823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68695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61065217">
    <w:abstractNumId w:val="18"/>
  </w:num>
  <w:num w:numId="15" w16cid:durableId="1013873033">
    <w:abstractNumId w:val="6"/>
  </w:num>
  <w:num w:numId="16" w16cid:durableId="1065908538">
    <w:abstractNumId w:val="5"/>
  </w:num>
  <w:num w:numId="17" w16cid:durableId="777219917">
    <w:abstractNumId w:val="4"/>
  </w:num>
  <w:num w:numId="18" w16cid:durableId="1897279896">
    <w:abstractNumId w:val="3"/>
  </w:num>
  <w:num w:numId="19" w16cid:durableId="829828705">
    <w:abstractNumId w:val="2"/>
  </w:num>
  <w:num w:numId="20" w16cid:durableId="935594259">
    <w:abstractNumId w:val="1"/>
  </w:num>
  <w:num w:numId="21" w16cid:durableId="186211585">
    <w:abstractNumId w:val="0"/>
  </w:num>
  <w:num w:numId="22" w16cid:durableId="1382753536">
    <w:abstractNumId w:val="8"/>
    <w:lvlOverride w:ilvl="0">
      <w:startOverride w:val="1"/>
    </w:lvlOverride>
  </w:num>
  <w:num w:numId="23" w16cid:durableId="31080326">
    <w:abstractNumId w:val="8"/>
    <w:lvlOverride w:ilvl="0">
      <w:startOverride w:val="1"/>
    </w:lvlOverride>
  </w:num>
  <w:num w:numId="24" w16cid:durableId="13033885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416906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44083334">
    <w:abstractNumId w:val="25"/>
  </w:num>
  <w:num w:numId="27" w16cid:durableId="1959296906">
    <w:abstractNumId w:val="13"/>
  </w:num>
  <w:num w:numId="28" w16cid:durableId="554001299">
    <w:abstractNumId w:val="24"/>
  </w:num>
  <w:num w:numId="29" w16cid:durableId="1227060588">
    <w:abstractNumId w:val="32"/>
  </w:num>
  <w:num w:numId="30" w16cid:durableId="753666373">
    <w:abstractNumId w:val="34"/>
  </w:num>
  <w:num w:numId="31" w16cid:durableId="1332567826">
    <w:abstractNumId w:val="29"/>
  </w:num>
  <w:num w:numId="32" w16cid:durableId="1201014913">
    <w:abstractNumId w:val="30"/>
  </w:num>
  <w:num w:numId="33" w16cid:durableId="1948266315">
    <w:abstractNumId w:val="36"/>
  </w:num>
  <w:num w:numId="34" w16cid:durableId="2021617370">
    <w:abstractNumId w:val="11"/>
  </w:num>
  <w:num w:numId="35" w16cid:durableId="1145009772">
    <w:abstractNumId w:val="27"/>
  </w:num>
  <w:num w:numId="36" w16cid:durableId="1062603526">
    <w:abstractNumId w:val="23"/>
  </w:num>
  <w:num w:numId="37" w16cid:durableId="527258020">
    <w:abstractNumId w:val="21"/>
  </w:num>
  <w:num w:numId="38" w16cid:durableId="919798909">
    <w:abstractNumId w:val="28"/>
  </w:num>
  <w:num w:numId="39" w16cid:durableId="2121408483">
    <w:abstractNumId w:val="33"/>
  </w:num>
  <w:num w:numId="40" w16cid:durableId="1497261603">
    <w:abstractNumId w:val="26"/>
  </w:num>
  <w:num w:numId="41" w16cid:durableId="1526750420">
    <w:abstractNumId w:val="37"/>
  </w:num>
  <w:num w:numId="42" w16cid:durableId="310525869">
    <w:abstractNumId w:val="12"/>
  </w:num>
  <w:num w:numId="43" w16cid:durableId="283312235">
    <w:abstractNumId w:val="35"/>
  </w:num>
  <w:num w:numId="44" w16cid:durableId="1255672665">
    <w:abstractNumId w:val="9"/>
  </w:num>
  <w:num w:numId="45" w16cid:durableId="1675572437">
    <w:abstractNumId w:val="19"/>
  </w:num>
  <w:num w:numId="46" w16cid:durableId="11539939">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embedSystemFonts/>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10"/>
  <w:drawingGridVerticalSpacing w:val="187"/>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7D9"/>
    <w:rsid w:val="0000028E"/>
    <w:rsid w:val="000007E0"/>
    <w:rsid w:val="00001E51"/>
    <w:rsid w:val="00003421"/>
    <w:rsid w:val="00004A10"/>
    <w:rsid w:val="00005CE5"/>
    <w:rsid w:val="0000750B"/>
    <w:rsid w:val="00010E97"/>
    <w:rsid w:val="000159D0"/>
    <w:rsid w:val="0002030D"/>
    <w:rsid w:val="000249AE"/>
    <w:rsid w:val="00025F27"/>
    <w:rsid w:val="000336CD"/>
    <w:rsid w:val="00036E83"/>
    <w:rsid w:val="000402A4"/>
    <w:rsid w:val="000424DE"/>
    <w:rsid w:val="0004663D"/>
    <w:rsid w:val="00047CBD"/>
    <w:rsid w:val="00050D83"/>
    <w:rsid w:val="00053E54"/>
    <w:rsid w:val="00055B00"/>
    <w:rsid w:val="00056552"/>
    <w:rsid w:val="000570AE"/>
    <w:rsid w:val="00060180"/>
    <w:rsid w:val="00062C79"/>
    <w:rsid w:val="00062D17"/>
    <w:rsid w:val="00065EB3"/>
    <w:rsid w:val="00065EE5"/>
    <w:rsid w:val="00074A31"/>
    <w:rsid w:val="0007772C"/>
    <w:rsid w:val="0008044F"/>
    <w:rsid w:val="00080762"/>
    <w:rsid w:val="00081303"/>
    <w:rsid w:val="00082E30"/>
    <w:rsid w:val="00084F69"/>
    <w:rsid w:val="000877B2"/>
    <w:rsid w:val="00087856"/>
    <w:rsid w:val="00091551"/>
    <w:rsid w:val="00091AC4"/>
    <w:rsid w:val="0009693C"/>
    <w:rsid w:val="0009748B"/>
    <w:rsid w:val="000A16DF"/>
    <w:rsid w:val="000A2BF6"/>
    <w:rsid w:val="000A2C88"/>
    <w:rsid w:val="000A38FF"/>
    <w:rsid w:val="000B003C"/>
    <w:rsid w:val="000B0A96"/>
    <w:rsid w:val="000B2545"/>
    <w:rsid w:val="000B616D"/>
    <w:rsid w:val="000B68A2"/>
    <w:rsid w:val="000B75CA"/>
    <w:rsid w:val="000C3646"/>
    <w:rsid w:val="000C5A02"/>
    <w:rsid w:val="000C69C2"/>
    <w:rsid w:val="000C75E1"/>
    <w:rsid w:val="000D0C31"/>
    <w:rsid w:val="000D49E1"/>
    <w:rsid w:val="000D507E"/>
    <w:rsid w:val="000D5CB3"/>
    <w:rsid w:val="000D625D"/>
    <w:rsid w:val="000E102F"/>
    <w:rsid w:val="000E3E73"/>
    <w:rsid w:val="000E52AB"/>
    <w:rsid w:val="000F0CFD"/>
    <w:rsid w:val="000F10EB"/>
    <w:rsid w:val="000F29C1"/>
    <w:rsid w:val="000F47AF"/>
    <w:rsid w:val="000F4A7A"/>
    <w:rsid w:val="0010101E"/>
    <w:rsid w:val="0010363B"/>
    <w:rsid w:val="00106183"/>
    <w:rsid w:val="0010658F"/>
    <w:rsid w:val="0010712E"/>
    <w:rsid w:val="001074E5"/>
    <w:rsid w:val="001103C6"/>
    <w:rsid w:val="00111D85"/>
    <w:rsid w:val="001171EE"/>
    <w:rsid w:val="00124C6B"/>
    <w:rsid w:val="00124CF6"/>
    <w:rsid w:val="00124DDB"/>
    <w:rsid w:val="00126E6B"/>
    <w:rsid w:val="001303BD"/>
    <w:rsid w:val="001303D1"/>
    <w:rsid w:val="001319E8"/>
    <w:rsid w:val="00132360"/>
    <w:rsid w:val="001338F3"/>
    <w:rsid w:val="00133F59"/>
    <w:rsid w:val="001349F2"/>
    <w:rsid w:val="00135386"/>
    <w:rsid w:val="001356E2"/>
    <w:rsid w:val="001375AC"/>
    <w:rsid w:val="00137FDF"/>
    <w:rsid w:val="00140D88"/>
    <w:rsid w:val="00141EC7"/>
    <w:rsid w:val="00143610"/>
    <w:rsid w:val="0015026D"/>
    <w:rsid w:val="00153268"/>
    <w:rsid w:val="001538B5"/>
    <w:rsid w:val="00156308"/>
    <w:rsid w:val="00162569"/>
    <w:rsid w:val="00163176"/>
    <w:rsid w:val="0016408F"/>
    <w:rsid w:val="00164B5F"/>
    <w:rsid w:val="00165365"/>
    <w:rsid w:val="001711AF"/>
    <w:rsid w:val="0017147C"/>
    <w:rsid w:val="00176098"/>
    <w:rsid w:val="00176217"/>
    <w:rsid w:val="00177930"/>
    <w:rsid w:val="001809AD"/>
    <w:rsid w:val="00180B13"/>
    <w:rsid w:val="00180C16"/>
    <w:rsid w:val="00181C07"/>
    <w:rsid w:val="00184D09"/>
    <w:rsid w:val="00185CE7"/>
    <w:rsid w:val="001876B1"/>
    <w:rsid w:val="00194C6A"/>
    <w:rsid w:val="00196227"/>
    <w:rsid w:val="0019717D"/>
    <w:rsid w:val="001A1B66"/>
    <w:rsid w:val="001A2915"/>
    <w:rsid w:val="001A42A9"/>
    <w:rsid w:val="001A58FF"/>
    <w:rsid w:val="001A743F"/>
    <w:rsid w:val="001A7A14"/>
    <w:rsid w:val="001B1CCF"/>
    <w:rsid w:val="001B2C0D"/>
    <w:rsid w:val="001B45B9"/>
    <w:rsid w:val="001B4BED"/>
    <w:rsid w:val="001C191B"/>
    <w:rsid w:val="001C378E"/>
    <w:rsid w:val="001C3AE4"/>
    <w:rsid w:val="001C3AFD"/>
    <w:rsid w:val="001C5A95"/>
    <w:rsid w:val="001C6772"/>
    <w:rsid w:val="001C70AD"/>
    <w:rsid w:val="001C763D"/>
    <w:rsid w:val="001D1120"/>
    <w:rsid w:val="001D5D7B"/>
    <w:rsid w:val="001D5DBA"/>
    <w:rsid w:val="001D6AFE"/>
    <w:rsid w:val="001D791C"/>
    <w:rsid w:val="001E4686"/>
    <w:rsid w:val="001F0AB4"/>
    <w:rsid w:val="001F559E"/>
    <w:rsid w:val="001F6709"/>
    <w:rsid w:val="001F71BB"/>
    <w:rsid w:val="002003A4"/>
    <w:rsid w:val="00200675"/>
    <w:rsid w:val="002028A8"/>
    <w:rsid w:val="0020371F"/>
    <w:rsid w:val="00204832"/>
    <w:rsid w:val="0020573D"/>
    <w:rsid w:val="002058E1"/>
    <w:rsid w:val="00207102"/>
    <w:rsid w:val="00213C15"/>
    <w:rsid w:val="0021585D"/>
    <w:rsid w:val="00215B3B"/>
    <w:rsid w:val="00216772"/>
    <w:rsid w:val="002203EE"/>
    <w:rsid w:val="002206DE"/>
    <w:rsid w:val="00221E52"/>
    <w:rsid w:val="00222A2C"/>
    <w:rsid w:val="0023211F"/>
    <w:rsid w:val="00233244"/>
    <w:rsid w:val="002335D3"/>
    <w:rsid w:val="00234A40"/>
    <w:rsid w:val="00235E4E"/>
    <w:rsid w:val="00236808"/>
    <w:rsid w:val="002373E9"/>
    <w:rsid w:val="00237E27"/>
    <w:rsid w:val="00240430"/>
    <w:rsid w:val="0024138F"/>
    <w:rsid w:val="00242265"/>
    <w:rsid w:val="00245298"/>
    <w:rsid w:val="002463F3"/>
    <w:rsid w:val="00251C73"/>
    <w:rsid w:val="00251EF5"/>
    <w:rsid w:val="00253862"/>
    <w:rsid w:val="0025537F"/>
    <w:rsid w:val="00255C76"/>
    <w:rsid w:val="0025685E"/>
    <w:rsid w:val="00264A47"/>
    <w:rsid w:val="002650E9"/>
    <w:rsid w:val="0026599F"/>
    <w:rsid w:val="0027209B"/>
    <w:rsid w:val="00273CEA"/>
    <w:rsid w:val="00275E10"/>
    <w:rsid w:val="00280FBE"/>
    <w:rsid w:val="002816D9"/>
    <w:rsid w:val="0028437C"/>
    <w:rsid w:val="00284E9D"/>
    <w:rsid w:val="00287354"/>
    <w:rsid w:val="00291CC4"/>
    <w:rsid w:val="002956AE"/>
    <w:rsid w:val="00297B4C"/>
    <w:rsid w:val="002A01E1"/>
    <w:rsid w:val="002A0A1E"/>
    <w:rsid w:val="002A30B5"/>
    <w:rsid w:val="002A5444"/>
    <w:rsid w:val="002A60D7"/>
    <w:rsid w:val="002B0190"/>
    <w:rsid w:val="002B041F"/>
    <w:rsid w:val="002B0DBD"/>
    <w:rsid w:val="002B1C77"/>
    <w:rsid w:val="002B25B8"/>
    <w:rsid w:val="002B2711"/>
    <w:rsid w:val="002B7D31"/>
    <w:rsid w:val="002C02B2"/>
    <w:rsid w:val="002C2606"/>
    <w:rsid w:val="002C2B69"/>
    <w:rsid w:val="002C304E"/>
    <w:rsid w:val="002C64C7"/>
    <w:rsid w:val="002C6B2C"/>
    <w:rsid w:val="002D086C"/>
    <w:rsid w:val="002D177A"/>
    <w:rsid w:val="002D34B6"/>
    <w:rsid w:val="002D4C1F"/>
    <w:rsid w:val="002D58DD"/>
    <w:rsid w:val="002D6255"/>
    <w:rsid w:val="002E0AA9"/>
    <w:rsid w:val="002E28F1"/>
    <w:rsid w:val="002E387D"/>
    <w:rsid w:val="002E4C8C"/>
    <w:rsid w:val="002E6280"/>
    <w:rsid w:val="002F1B60"/>
    <w:rsid w:val="002F1B61"/>
    <w:rsid w:val="002F24B1"/>
    <w:rsid w:val="002F416F"/>
    <w:rsid w:val="002F562A"/>
    <w:rsid w:val="002F6C18"/>
    <w:rsid w:val="00301284"/>
    <w:rsid w:val="00301CFF"/>
    <w:rsid w:val="00303B11"/>
    <w:rsid w:val="00305736"/>
    <w:rsid w:val="00311E94"/>
    <w:rsid w:val="00313B54"/>
    <w:rsid w:val="003148D9"/>
    <w:rsid w:val="00314AA4"/>
    <w:rsid w:val="00316811"/>
    <w:rsid w:val="0031704F"/>
    <w:rsid w:val="0031736D"/>
    <w:rsid w:val="00317737"/>
    <w:rsid w:val="00320765"/>
    <w:rsid w:val="00321C4D"/>
    <w:rsid w:val="00322E8E"/>
    <w:rsid w:val="00325CA1"/>
    <w:rsid w:val="00327684"/>
    <w:rsid w:val="00327BE6"/>
    <w:rsid w:val="0033144F"/>
    <w:rsid w:val="00332696"/>
    <w:rsid w:val="0033435C"/>
    <w:rsid w:val="003359BF"/>
    <w:rsid w:val="00336666"/>
    <w:rsid w:val="003402EE"/>
    <w:rsid w:val="00341F2B"/>
    <w:rsid w:val="00342804"/>
    <w:rsid w:val="003428DC"/>
    <w:rsid w:val="0034461A"/>
    <w:rsid w:val="00344D10"/>
    <w:rsid w:val="00345A0F"/>
    <w:rsid w:val="00346562"/>
    <w:rsid w:val="00347628"/>
    <w:rsid w:val="00360364"/>
    <w:rsid w:val="0036282C"/>
    <w:rsid w:val="00363A58"/>
    <w:rsid w:val="00364747"/>
    <w:rsid w:val="00364E72"/>
    <w:rsid w:val="00365785"/>
    <w:rsid w:val="00365EE6"/>
    <w:rsid w:val="003707D7"/>
    <w:rsid w:val="003764AA"/>
    <w:rsid w:val="00376AB9"/>
    <w:rsid w:val="003814FB"/>
    <w:rsid w:val="00384438"/>
    <w:rsid w:val="00384CD5"/>
    <w:rsid w:val="0039331F"/>
    <w:rsid w:val="003934C3"/>
    <w:rsid w:val="00393B1F"/>
    <w:rsid w:val="00393F2E"/>
    <w:rsid w:val="0039503D"/>
    <w:rsid w:val="00396EAB"/>
    <w:rsid w:val="003A0380"/>
    <w:rsid w:val="003A0D31"/>
    <w:rsid w:val="003A1B0C"/>
    <w:rsid w:val="003A1F7D"/>
    <w:rsid w:val="003A2CEA"/>
    <w:rsid w:val="003A45A0"/>
    <w:rsid w:val="003A45F2"/>
    <w:rsid w:val="003A5C91"/>
    <w:rsid w:val="003B28CE"/>
    <w:rsid w:val="003B7C3E"/>
    <w:rsid w:val="003C0680"/>
    <w:rsid w:val="003C1465"/>
    <w:rsid w:val="003C1AFE"/>
    <w:rsid w:val="003C20F5"/>
    <w:rsid w:val="003C2C56"/>
    <w:rsid w:val="003C438E"/>
    <w:rsid w:val="003C46D6"/>
    <w:rsid w:val="003C5157"/>
    <w:rsid w:val="003C557F"/>
    <w:rsid w:val="003D050C"/>
    <w:rsid w:val="003D0695"/>
    <w:rsid w:val="003D1A55"/>
    <w:rsid w:val="003D45EC"/>
    <w:rsid w:val="003D5754"/>
    <w:rsid w:val="003E3A14"/>
    <w:rsid w:val="003E4911"/>
    <w:rsid w:val="003E620E"/>
    <w:rsid w:val="003F29C3"/>
    <w:rsid w:val="003F4960"/>
    <w:rsid w:val="003F5400"/>
    <w:rsid w:val="00402AD5"/>
    <w:rsid w:val="00403AC5"/>
    <w:rsid w:val="00404C6E"/>
    <w:rsid w:val="00405943"/>
    <w:rsid w:val="00406D95"/>
    <w:rsid w:val="00406DC3"/>
    <w:rsid w:val="00407146"/>
    <w:rsid w:val="00407A4D"/>
    <w:rsid w:val="0041169A"/>
    <w:rsid w:val="004160A1"/>
    <w:rsid w:val="004211AA"/>
    <w:rsid w:val="004211E3"/>
    <w:rsid w:val="00422C90"/>
    <w:rsid w:val="00423FDE"/>
    <w:rsid w:val="00424CE4"/>
    <w:rsid w:val="00425B15"/>
    <w:rsid w:val="00427C8D"/>
    <w:rsid w:val="00430AF2"/>
    <w:rsid w:val="00431ED6"/>
    <w:rsid w:val="00432289"/>
    <w:rsid w:val="0043346E"/>
    <w:rsid w:val="00436493"/>
    <w:rsid w:val="00436BC2"/>
    <w:rsid w:val="00437D50"/>
    <w:rsid w:val="004400FE"/>
    <w:rsid w:val="00440E86"/>
    <w:rsid w:val="00442C8A"/>
    <w:rsid w:val="0044348A"/>
    <w:rsid w:val="00443A1C"/>
    <w:rsid w:val="00444F94"/>
    <w:rsid w:val="0044510C"/>
    <w:rsid w:val="00447A91"/>
    <w:rsid w:val="004503E6"/>
    <w:rsid w:val="00452E4D"/>
    <w:rsid w:val="00455CC3"/>
    <w:rsid w:val="0045640C"/>
    <w:rsid w:val="00456B09"/>
    <w:rsid w:val="00460D63"/>
    <w:rsid w:val="00462B35"/>
    <w:rsid w:val="0046417E"/>
    <w:rsid w:val="00465C6A"/>
    <w:rsid w:val="004668C9"/>
    <w:rsid w:val="00470AD4"/>
    <w:rsid w:val="00475F79"/>
    <w:rsid w:val="00476875"/>
    <w:rsid w:val="004769E3"/>
    <w:rsid w:val="00477633"/>
    <w:rsid w:val="00477E4C"/>
    <w:rsid w:val="004816C1"/>
    <w:rsid w:val="00481846"/>
    <w:rsid w:val="00482B68"/>
    <w:rsid w:val="00483ADC"/>
    <w:rsid w:val="00483C0C"/>
    <w:rsid w:val="00483C21"/>
    <w:rsid w:val="00483C9F"/>
    <w:rsid w:val="00487197"/>
    <w:rsid w:val="004903D0"/>
    <w:rsid w:val="004904CA"/>
    <w:rsid w:val="00490CE7"/>
    <w:rsid w:val="00494CDC"/>
    <w:rsid w:val="00496764"/>
    <w:rsid w:val="004A3C9C"/>
    <w:rsid w:val="004A4B38"/>
    <w:rsid w:val="004A4B74"/>
    <w:rsid w:val="004A598E"/>
    <w:rsid w:val="004A6774"/>
    <w:rsid w:val="004A79AB"/>
    <w:rsid w:val="004B0F9F"/>
    <w:rsid w:val="004B5D9E"/>
    <w:rsid w:val="004B67F9"/>
    <w:rsid w:val="004C1E8A"/>
    <w:rsid w:val="004C20A9"/>
    <w:rsid w:val="004C4668"/>
    <w:rsid w:val="004C60B8"/>
    <w:rsid w:val="004C6126"/>
    <w:rsid w:val="004C7016"/>
    <w:rsid w:val="004C7027"/>
    <w:rsid w:val="004C766E"/>
    <w:rsid w:val="004D0D9B"/>
    <w:rsid w:val="004D184B"/>
    <w:rsid w:val="004D2F0B"/>
    <w:rsid w:val="004D2FE1"/>
    <w:rsid w:val="004D3E92"/>
    <w:rsid w:val="004D45E5"/>
    <w:rsid w:val="004D5D2F"/>
    <w:rsid w:val="004D7184"/>
    <w:rsid w:val="004D784E"/>
    <w:rsid w:val="004E1200"/>
    <w:rsid w:val="004E197C"/>
    <w:rsid w:val="004E4E78"/>
    <w:rsid w:val="004E6191"/>
    <w:rsid w:val="004E740B"/>
    <w:rsid w:val="004E7E26"/>
    <w:rsid w:val="004F07F4"/>
    <w:rsid w:val="004F25B8"/>
    <w:rsid w:val="004F3609"/>
    <w:rsid w:val="004F4A9E"/>
    <w:rsid w:val="004F75E1"/>
    <w:rsid w:val="004F786A"/>
    <w:rsid w:val="00501AB2"/>
    <w:rsid w:val="00501BC1"/>
    <w:rsid w:val="00507A89"/>
    <w:rsid w:val="00507C80"/>
    <w:rsid w:val="00512179"/>
    <w:rsid w:val="00512EB5"/>
    <w:rsid w:val="00516FEB"/>
    <w:rsid w:val="00522032"/>
    <w:rsid w:val="005223EE"/>
    <w:rsid w:val="0052496C"/>
    <w:rsid w:val="00525264"/>
    <w:rsid w:val="00526BD8"/>
    <w:rsid w:val="0053006A"/>
    <w:rsid w:val="00530734"/>
    <w:rsid w:val="00531F7E"/>
    <w:rsid w:val="00531FBB"/>
    <w:rsid w:val="005327AF"/>
    <w:rsid w:val="0053540B"/>
    <w:rsid w:val="00535F34"/>
    <w:rsid w:val="0053655E"/>
    <w:rsid w:val="005368CF"/>
    <w:rsid w:val="00540B8D"/>
    <w:rsid w:val="0054175E"/>
    <w:rsid w:val="00541A9C"/>
    <w:rsid w:val="00542734"/>
    <w:rsid w:val="00544ADE"/>
    <w:rsid w:val="005471B9"/>
    <w:rsid w:val="005508EA"/>
    <w:rsid w:val="00550D78"/>
    <w:rsid w:val="00551C8E"/>
    <w:rsid w:val="00551D43"/>
    <w:rsid w:val="00553644"/>
    <w:rsid w:val="00555635"/>
    <w:rsid w:val="00561BB5"/>
    <w:rsid w:val="005639D8"/>
    <w:rsid w:val="00564F93"/>
    <w:rsid w:val="00565F74"/>
    <w:rsid w:val="0056762E"/>
    <w:rsid w:val="00573B3D"/>
    <w:rsid w:val="005740EE"/>
    <w:rsid w:val="00574716"/>
    <w:rsid w:val="005768C6"/>
    <w:rsid w:val="00577003"/>
    <w:rsid w:val="005779AE"/>
    <w:rsid w:val="0058046A"/>
    <w:rsid w:val="00580986"/>
    <w:rsid w:val="00580C2A"/>
    <w:rsid w:val="00581088"/>
    <w:rsid w:val="0058223B"/>
    <w:rsid w:val="00584496"/>
    <w:rsid w:val="005861C5"/>
    <w:rsid w:val="00586F74"/>
    <w:rsid w:val="00587E31"/>
    <w:rsid w:val="00591781"/>
    <w:rsid w:val="00593667"/>
    <w:rsid w:val="00594F1A"/>
    <w:rsid w:val="005A0C08"/>
    <w:rsid w:val="005A460C"/>
    <w:rsid w:val="005A4FF5"/>
    <w:rsid w:val="005A7EF6"/>
    <w:rsid w:val="005B01A5"/>
    <w:rsid w:val="005B1578"/>
    <w:rsid w:val="005B27B9"/>
    <w:rsid w:val="005B448B"/>
    <w:rsid w:val="005B5A64"/>
    <w:rsid w:val="005B5D89"/>
    <w:rsid w:val="005B7936"/>
    <w:rsid w:val="005C17EF"/>
    <w:rsid w:val="005C1879"/>
    <w:rsid w:val="005C21CA"/>
    <w:rsid w:val="005C4652"/>
    <w:rsid w:val="005C729D"/>
    <w:rsid w:val="005C7627"/>
    <w:rsid w:val="005C7EBC"/>
    <w:rsid w:val="005D157C"/>
    <w:rsid w:val="005D22EE"/>
    <w:rsid w:val="005E2FF5"/>
    <w:rsid w:val="005E4524"/>
    <w:rsid w:val="005E4534"/>
    <w:rsid w:val="005E4E87"/>
    <w:rsid w:val="005F1724"/>
    <w:rsid w:val="005F501F"/>
    <w:rsid w:val="005F648A"/>
    <w:rsid w:val="005F7ED5"/>
    <w:rsid w:val="00601FC0"/>
    <w:rsid w:val="006032BC"/>
    <w:rsid w:val="0060415F"/>
    <w:rsid w:val="0060460B"/>
    <w:rsid w:val="00605F95"/>
    <w:rsid w:val="00607ED8"/>
    <w:rsid w:val="006123F6"/>
    <w:rsid w:val="00614F50"/>
    <w:rsid w:val="0061570E"/>
    <w:rsid w:val="0062076A"/>
    <w:rsid w:val="006239BF"/>
    <w:rsid w:val="00624A01"/>
    <w:rsid w:val="00627CA3"/>
    <w:rsid w:val="00630273"/>
    <w:rsid w:val="00631CA7"/>
    <w:rsid w:val="006329FE"/>
    <w:rsid w:val="0063539B"/>
    <w:rsid w:val="00637BEA"/>
    <w:rsid w:val="00642725"/>
    <w:rsid w:val="00642875"/>
    <w:rsid w:val="006454F8"/>
    <w:rsid w:val="00650469"/>
    <w:rsid w:val="00651CBE"/>
    <w:rsid w:val="00652773"/>
    <w:rsid w:val="006620B9"/>
    <w:rsid w:val="00662BC3"/>
    <w:rsid w:val="00663C55"/>
    <w:rsid w:val="0066431F"/>
    <w:rsid w:val="006646B7"/>
    <w:rsid w:val="006646D2"/>
    <w:rsid w:val="00664A29"/>
    <w:rsid w:val="00667CD1"/>
    <w:rsid w:val="006747BB"/>
    <w:rsid w:val="00676643"/>
    <w:rsid w:val="00677428"/>
    <w:rsid w:val="0067793E"/>
    <w:rsid w:val="00681DD0"/>
    <w:rsid w:val="00684C07"/>
    <w:rsid w:val="00686D25"/>
    <w:rsid w:val="00686D36"/>
    <w:rsid w:val="00687062"/>
    <w:rsid w:val="00687B5B"/>
    <w:rsid w:val="00690932"/>
    <w:rsid w:val="0069118A"/>
    <w:rsid w:val="0069288F"/>
    <w:rsid w:val="00694327"/>
    <w:rsid w:val="00694764"/>
    <w:rsid w:val="00694B80"/>
    <w:rsid w:val="0069583D"/>
    <w:rsid w:val="006965E9"/>
    <w:rsid w:val="00696AD4"/>
    <w:rsid w:val="0069708E"/>
    <w:rsid w:val="006A00AC"/>
    <w:rsid w:val="006A02BF"/>
    <w:rsid w:val="006A1B29"/>
    <w:rsid w:val="006A1C3B"/>
    <w:rsid w:val="006A3CCB"/>
    <w:rsid w:val="006A4D9A"/>
    <w:rsid w:val="006A7A9D"/>
    <w:rsid w:val="006B1BF6"/>
    <w:rsid w:val="006B20B4"/>
    <w:rsid w:val="006C0063"/>
    <w:rsid w:val="006C1281"/>
    <w:rsid w:val="006C2D4F"/>
    <w:rsid w:val="006C4554"/>
    <w:rsid w:val="006C4897"/>
    <w:rsid w:val="006C755D"/>
    <w:rsid w:val="006C7A20"/>
    <w:rsid w:val="006D29E4"/>
    <w:rsid w:val="006D2DBA"/>
    <w:rsid w:val="006D4636"/>
    <w:rsid w:val="006D6109"/>
    <w:rsid w:val="006D638C"/>
    <w:rsid w:val="006D640C"/>
    <w:rsid w:val="006D748A"/>
    <w:rsid w:val="006D76E7"/>
    <w:rsid w:val="006E33B9"/>
    <w:rsid w:val="006E3CC5"/>
    <w:rsid w:val="006E674D"/>
    <w:rsid w:val="006F4F60"/>
    <w:rsid w:val="006F7165"/>
    <w:rsid w:val="00701673"/>
    <w:rsid w:val="007120A7"/>
    <w:rsid w:val="00712F81"/>
    <w:rsid w:val="007147F6"/>
    <w:rsid w:val="007162FF"/>
    <w:rsid w:val="0072220E"/>
    <w:rsid w:val="00722292"/>
    <w:rsid w:val="00723509"/>
    <w:rsid w:val="007241AE"/>
    <w:rsid w:val="00726362"/>
    <w:rsid w:val="00730298"/>
    <w:rsid w:val="007307F7"/>
    <w:rsid w:val="00731396"/>
    <w:rsid w:val="00731579"/>
    <w:rsid w:val="00731A81"/>
    <w:rsid w:val="0073301A"/>
    <w:rsid w:val="007333FD"/>
    <w:rsid w:val="007347D9"/>
    <w:rsid w:val="00734BB1"/>
    <w:rsid w:val="00735E43"/>
    <w:rsid w:val="007370FD"/>
    <w:rsid w:val="00742482"/>
    <w:rsid w:val="00755504"/>
    <w:rsid w:val="007572CD"/>
    <w:rsid w:val="00762325"/>
    <w:rsid w:val="007640CC"/>
    <w:rsid w:val="00764A9F"/>
    <w:rsid w:val="0076617B"/>
    <w:rsid w:val="00766914"/>
    <w:rsid w:val="007724C6"/>
    <w:rsid w:val="00772F44"/>
    <w:rsid w:val="00775FF0"/>
    <w:rsid w:val="00776BC0"/>
    <w:rsid w:val="00777DF6"/>
    <w:rsid w:val="00782DF8"/>
    <w:rsid w:val="00783DE1"/>
    <w:rsid w:val="00784015"/>
    <w:rsid w:val="00784D68"/>
    <w:rsid w:val="00786ABA"/>
    <w:rsid w:val="00792E37"/>
    <w:rsid w:val="00796269"/>
    <w:rsid w:val="00797AEC"/>
    <w:rsid w:val="007A2862"/>
    <w:rsid w:val="007A2A70"/>
    <w:rsid w:val="007A5C24"/>
    <w:rsid w:val="007A62B8"/>
    <w:rsid w:val="007B1772"/>
    <w:rsid w:val="007B1D0C"/>
    <w:rsid w:val="007B4774"/>
    <w:rsid w:val="007B6CE5"/>
    <w:rsid w:val="007C0B69"/>
    <w:rsid w:val="007C213E"/>
    <w:rsid w:val="007C308C"/>
    <w:rsid w:val="007C3187"/>
    <w:rsid w:val="007D55C6"/>
    <w:rsid w:val="007D5F14"/>
    <w:rsid w:val="007D6103"/>
    <w:rsid w:val="007D67E1"/>
    <w:rsid w:val="007E1358"/>
    <w:rsid w:val="007E7D70"/>
    <w:rsid w:val="007F0E84"/>
    <w:rsid w:val="007F18FF"/>
    <w:rsid w:val="007F2161"/>
    <w:rsid w:val="007F2523"/>
    <w:rsid w:val="007F2E53"/>
    <w:rsid w:val="007F65F1"/>
    <w:rsid w:val="007F6774"/>
    <w:rsid w:val="0080101B"/>
    <w:rsid w:val="00801301"/>
    <w:rsid w:val="00801560"/>
    <w:rsid w:val="00801B08"/>
    <w:rsid w:val="0080210A"/>
    <w:rsid w:val="00806E85"/>
    <w:rsid w:val="00807147"/>
    <w:rsid w:val="0080724E"/>
    <w:rsid w:val="00810EBF"/>
    <w:rsid w:val="00811C15"/>
    <w:rsid w:val="00812468"/>
    <w:rsid w:val="0081306E"/>
    <w:rsid w:val="00813E16"/>
    <w:rsid w:val="008220EE"/>
    <w:rsid w:val="00822C91"/>
    <w:rsid w:val="00823826"/>
    <w:rsid w:val="008253A4"/>
    <w:rsid w:val="00825FF6"/>
    <w:rsid w:val="00826FFE"/>
    <w:rsid w:val="00827CD6"/>
    <w:rsid w:val="00830E9B"/>
    <w:rsid w:val="008332C8"/>
    <w:rsid w:val="00834B61"/>
    <w:rsid w:val="0083596E"/>
    <w:rsid w:val="00840E92"/>
    <w:rsid w:val="00843C3A"/>
    <w:rsid w:val="00844711"/>
    <w:rsid w:val="00845493"/>
    <w:rsid w:val="008462C7"/>
    <w:rsid w:val="0084748C"/>
    <w:rsid w:val="0085012E"/>
    <w:rsid w:val="00850C8E"/>
    <w:rsid w:val="00850E3B"/>
    <w:rsid w:val="00851943"/>
    <w:rsid w:val="0085333F"/>
    <w:rsid w:val="00853488"/>
    <w:rsid w:val="008578D2"/>
    <w:rsid w:val="00862E42"/>
    <w:rsid w:val="008642A0"/>
    <w:rsid w:val="00866C5F"/>
    <w:rsid w:val="008670CF"/>
    <w:rsid w:val="00871705"/>
    <w:rsid w:val="00872D32"/>
    <w:rsid w:val="0087356B"/>
    <w:rsid w:val="00875C7E"/>
    <w:rsid w:val="008768BB"/>
    <w:rsid w:val="008807D7"/>
    <w:rsid w:val="00886FC3"/>
    <w:rsid w:val="00891B7C"/>
    <w:rsid w:val="00894104"/>
    <w:rsid w:val="0089514D"/>
    <w:rsid w:val="008973BA"/>
    <w:rsid w:val="008A0C29"/>
    <w:rsid w:val="008A0CFD"/>
    <w:rsid w:val="008A590C"/>
    <w:rsid w:val="008A6002"/>
    <w:rsid w:val="008A67E6"/>
    <w:rsid w:val="008A6841"/>
    <w:rsid w:val="008A6961"/>
    <w:rsid w:val="008A69E1"/>
    <w:rsid w:val="008A79BA"/>
    <w:rsid w:val="008A7CF2"/>
    <w:rsid w:val="008B0CCD"/>
    <w:rsid w:val="008B2C69"/>
    <w:rsid w:val="008B30CF"/>
    <w:rsid w:val="008B42AA"/>
    <w:rsid w:val="008B539A"/>
    <w:rsid w:val="008B5518"/>
    <w:rsid w:val="008C19E6"/>
    <w:rsid w:val="008C362E"/>
    <w:rsid w:val="008C570C"/>
    <w:rsid w:val="008C65E6"/>
    <w:rsid w:val="008D6F6B"/>
    <w:rsid w:val="008E168C"/>
    <w:rsid w:val="008E5310"/>
    <w:rsid w:val="008E5F1C"/>
    <w:rsid w:val="008E64EC"/>
    <w:rsid w:val="008E6F79"/>
    <w:rsid w:val="008E75A8"/>
    <w:rsid w:val="008F4F8F"/>
    <w:rsid w:val="008F5C12"/>
    <w:rsid w:val="008F716B"/>
    <w:rsid w:val="00903821"/>
    <w:rsid w:val="00904754"/>
    <w:rsid w:val="00904C0B"/>
    <w:rsid w:val="00906BE0"/>
    <w:rsid w:val="009104F4"/>
    <w:rsid w:val="0091175D"/>
    <w:rsid w:val="00914172"/>
    <w:rsid w:val="009151FC"/>
    <w:rsid w:val="00915B86"/>
    <w:rsid w:val="0091631F"/>
    <w:rsid w:val="009172D0"/>
    <w:rsid w:val="009214C4"/>
    <w:rsid w:val="00922E6E"/>
    <w:rsid w:val="00932B19"/>
    <w:rsid w:val="00935F44"/>
    <w:rsid w:val="00936023"/>
    <w:rsid w:val="00936A08"/>
    <w:rsid w:val="00940661"/>
    <w:rsid w:val="00941DA7"/>
    <w:rsid w:val="00943621"/>
    <w:rsid w:val="00944E11"/>
    <w:rsid w:val="00946406"/>
    <w:rsid w:val="009478D2"/>
    <w:rsid w:val="00950099"/>
    <w:rsid w:val="009516CA"/>
    <w:rsid w:val="009526B0"/>
    <w:rsid w:val="00952D38"/>
    <w:rsid w:val="00952EF7"/>
    <w:rsid w:val="00954624"/>
    <w:rsid w:val="0095751D"/>
    <w:rsid w:val="0095771F"/>
    <w:rsid w:val="0096127C"/>
    <w:rsid w:val="0096146C"/>
    <w:rsid w:val="00961D6F"/>
    <w:rsid w:val="00966D20"/>
    <w:rsid w:val="0097216A"/>
    <w:rsid w:val="00972D46"/>
    <w:rsid w:val="009731CF"/>
    <w:rsid w:val="009743B9"/>
    <w:rsid w:val="009746E6"/>
    <w:rsid w:val="009801A4"/>
    <w:rsid w:val="009816DF"/>
    <w:rsid w:val="009820DB"/>
    <w:rsid w:val="00983B42"/>
    <w:rsid w:val="00983FA4"/>
    <w:rsid w:val="00984425"/>
    <w:rsid w:val="00985257"/>
    <w:rsid w:val="0098684E"/>
    <w:rsid w:val="00987715"/>
    <w:rsid w:val="009903D5"/>
    <w:rsid w:val="0099112B"/>
    <w:rsid w:val="009913AB"/>
    <w:rsid w:val="00992777"/>
    <w:rsid w:val="009932BE"/>
    <w:rsid w:val="0099365D"/>
    <w:rsid w:val="009939BC"/>
    <w:rsid w:val="00993DBF"/>
    <w:rsid w:val="009A0756"/>
    <w:rsid w:val="009A0C7F"/>
    <w:rsid w:val="009A4258"/>
    <w:rsid w:val="009A70DE"/>
    <w:rsid w:val="009B3D59"/>
    <w:rsid w:val="009B3EEB"/>
    <w:rsid w:val="009B4F09"/>
    <w:rsid w:val="009B57CA"/>
    <w:rsid w:val="009C1263"/>
    <w:rsid w:val="009C2135"/>
    <w:rsid w:val="009C4230"/>
    <w:rsid w:val="009C4844"/>
    <w:rsid w:val="009C4DA6"/>
    <w:rsid w:val="009C689C"/>
    <w:rsid w:val="009C69BE"/>
    <w:rsid w:val="009D029A"/>
    <w:rsid w:val="009D2C55"/>
    <w:rsid w:val="009D31E4"/>
    <w:rsid w:val="009D3A79"/>
    <w:rsid w:val="009D5E41"/>
    <w:rsid w:val="009D6C65"/>
    <w:rsid w:val="009D75D7"/>
    <w:rsid w:val="009E2651"/>
    <w:rsid w:val="009E2D06"/>
    <w:rsid w:val="009E555D"/>
    <w:rsid w:val="009E5B23"/>
    <w:rsid w:val="009E5CDD"/>
    <w:rsid w:val="009F2038"/>
    <w:rsid w:val="009F2478"/>
    <w:rsid w:val="009F32DF"/>
    <w:rsid w:val="009F34A6"/>
    <w:rsid w:val="009F3582"/>
    <w:rsid w:val="009F5E1E"/>
    <w:rsid w:val="00A01A3C"/>
    <w:rsid w:val="00A02007"/>
    <w:rsid w:val="00A02F97"/>
    <w:rsid w:val="00A03907"/>
    <w:rsid w:val="00A03A32"/>
    <w:rsid w:val="00A048B7"/>
    <w:rsid w:val="00A04CF9"/>
    <w:rsid w:val="00A103C8"/>
    <w:rsid w:val="00A10681"/>
    <w:rsid w:val="00A10795"/>
    <w:rsid w:val="00A116E8"/>
    <w:rsid w:val="00A11804"/>
    <w:rsid w:val="00A12018"/>
    <w:rsid w:val="00A1258E"/>
    <w:rsid w:val="00A15F2E"/>
    <w:rsid w:val="00A1742F"/>
    <w:rsid w:val="00A2006C"/>
    <w:rsid w:val="00A20B2F"/>
    <w:rsid w:val="00A20CEB"/>
    <w:rsid w:val="00A2115B"/>
    <w:rsid w:val="00A2118B"/>
    <w:rsid w:val="00A23637"/>
    <w:rsid w:val="00A23B0F"/>
    <w:rsid w:val="00A246EB"/>
    <w:rsid w:val="00A25189"/>
    <w:rsid w:val="00A25BC3"/>
    <w:rsid w:val="00A320EB"/>
    <w:rsid w:val="00A33B26"/>
    <w:rsid w:val="00A346C9"/>
    <w:rsid w:val="00A354B6"/>
    <w:rsid w:val="00A37201"/>
    <w:rsid w:val="00A379A3"/>
    <w:rsid w:val="00A40AF8"/>
    <w:rsid w:val="00A40B00"/>
    <w:rsid w:val="00A4472E"/>
    <w:rsid w:val="00A44E58"/>
    <w:rsid w:val="00A46084"/>
    <w:rsid w:val="00A47389"/>
    <w:rsid w:val="00A5159B"/>
    <w:rsid w:val="00A52063"/>
    <w:rsid w:val="00A54E71"/>
    <w:rsid w:val="00A604F8"/>
    <w:rsid w:val="00A606FE"/>
    <w:rsid w:val="00A60AD8"/>
    <w:rsid w:val="00A60FF9"/>
    <w:rsid w:val="00A652A5"/>
    <w:rsid w:val="00A65CE1"/>
    <w:rsid w:val="00A70560"/>
    <w:rsid w:val="00A71225"/>
    <w:rsid w:val="00A75526"/>
    <w:rsid w:val="00A8212B"/>
    <w:rsid w:val="00A825CD"/>
    <w:rsid w:val="00A84552"/>
    <w:rsid w:val="00A84B7D"/>
    <w:rsid w:val="00A84E47"/>
    <w:rsid w:val="00A85425"/>
    <w:rsid w:val="00A8586D"/>
    <w:rsid w:val="00A86130"/>
    <w:rsid w:val="00A8708A"/>
    <w:rsid w:val="00A8742E"/>
    <w:rsid w:val="00A878CE"/>
    <w:rsid w:val="00A91904"/>
    <w:rsid w:val="00A91AE5"/>
    <w:rsid w:val="00A9319C"/>
    <w:rsid w:val="00A94D4A"/>
    <w:rsid w:val="00AA1924"/>
    <w:rsid w:val="00AA3049"/>
    <w:rsid w:val="00AA3069"/>
    <w:rsid w:val="00AA3AA6"/>
    <w:rsid w:val="00AA3B9E"/>
    <w:rsid w:val="00AB0878"/>
    <w:rsid w:val="00AB1322"/>
    <w:rsid w:val="00AB2E6B"/>
    <w:rsid w:val="00AB49AA"/>
    <w:rsid w:val="00AB4CF1"/>
    <w:rsid w:val="00AB5C90"/>
    <w:rsid w:val="00AC0F37"/>
    <w:rsid w:val="00AC0F56"/>
    <w:rsid w:val="00AC3C96"/>
    <w:rsid w:val="00AC54C4"/>
    <w:rsid w:val="00AC5778"/>
    <w:rsid w:val="00AC5E94"/>
    <w:rsid w:val="00AC6977"/>
    <w:rsid w:val="00AC747B"/>
    <w:rsid w:val="00AD0921"/>
    <w:rsid w:val="00AD3389"/>
    <w:rsid w:val="00AD4AD9"/>
    <w:rsid w:val="00AD6611"/>
    <w:rsid w:val="00AD673A"/>
    <w:rsid w:val="00AE0C35"/>
    <w:rsid w:val="00AE1612"/>
    <w:rsid w:val="00AE216C"/>
    <w:rsid w:val="00AE3105"/>
    <w:rsid w:val="00AF04AC"/>
    <w:rsid w:val="00AF289E"/>
    <w:rsid w:val="00AF44EB"/>
    <w:rsid w:val="00AF75B7"/>
    <w:rsid w:val="00AF7BF8"/>
    <w:rsid w:val="00B022A9"/>
    <w:rsid w:val="00B02613"/>
    <w:rsid w:val="00B045BC"/>
    <w:rsid w:val="00B059B1"/>
    <w:rsid w:val="00B10905"/>
    <w:rsid w:val="00B12D55"/>
    <w:rsid w:val="00B144E6"/>
    <w:rsid w:val="00B20C37"/>
    <w:rsid w:val="00B2179D"/>
    <w:rsid w:val="00B22396"/>
    <w:rsid w:val="00B2414A"/>
    <w:rsid w:val="00B243C2"/>
    <w:rsid w:val="00B3420C"/>
    <w:rsid w:val="00B40F20"/>
    <w:rsid w:val="00B4217A"/>
    <w:rsid w:val="00B42663"/>
    <w:rsid w:val="00B5046E"/>
    <w:rsid w:val="00B52711"/>
    <w:rsid w:val="00B54C89"/>
    <w:rsid w:val="00B61022"/>
    <w:rsid w:val="00B61217"/>
    <w:rsid w:val="00B6332F"/>
    <w:rsid w:val="00B676B7"/>
    <w:rsid w:val="00B700E9"/>
    <w:rsid w:val="00B72486"/>
    <w:rsid w:val="00B7325F"/>
    <w:rsid w:val="00B74130"/>
    <w:rsid w:val="00B7442B"/>
    <w:rsid w:val="00B74BA6"/>
    <w:rsid w:val="00B7547E"/>
    <w:rsid w:val="00B821A0"/>
    <w:rsid w:val="00B823C5"/>
    <w:rsid w:val="00B831EC"/>
    <w:rsid w:val="00B85D63"/>
    <w:rsid w:val="00B868B6"/>
    <w:rsid w:val="00B86AEB"/>
    <w:rsid w:val="00B90395"/>
    <w:rsid w:val="00B90B68"/>
    <w:rsid w:val="00B90CCA"/>
    <w:rsid w:val="00B94079"/>
    <w:rsid w:val="00BA1E14"/>
    <w:rsid w:val="00BA20E9"/>
    <w:rsid w:val="00BA238C"/>
    <w:rsid w:val="00BA5E38"/>
    <w:rsid w:val="00BA63EE"/>
    <w:rsid w:val="00BB3554"/>
    <w:rsid w:val="00BB4CF6"/>
    <w:rsid w:val="00BB5B33"/>
    <w:rsid w:val="00BB66A2"/>
    <w:rsid w:val="00BB7131"/>
    <w:rsid w:val="00BC0CBC"/>
    <w:rsid w:val="00BC24C7"/>
    <w:rsid w:val="00BC5322"/>
    <w:rsid w:val="00BC5E8A"/>
    <w:rsid w:val="00BC6A87"/>
    <w:rsid w:val="00BC7745"/>
    <w:rsid w:val="00BD0CA9"/>
    <w:rsid w:val="00BD0F67"/>
    <w:rsid w:val="00BD6F5E"/>
    <w:rsid w:val="00BE0F30"/>
    <w:rsid w:val="00BE20B9"/>
    <w:rsid w:val="00BE21A2"/>
    <w:rsid w:val="00BE25F2"/>
    <w:rsid w:val="00BE4D32"/>
    <w:rsid w:val="00BE6182"/>
    <w:rsid w:val="00BE7495"/>
    <w:rsid w:val="00BF03F2"/>
    <w:rsid w:val="00BF25DB"/>
    <w:rsid w:val="00BF4B82"/>
    <w:rsid w:val="00BF52D2"/>
    <w:rsid w:val="00C00276"/>
    <w:rsid w:val="00C059EF"/>
    <w:rsid w:val="00C06E76"/>
    <w:rsid w:val="00C076E6"/>
    <w:rsid w:val="00C113BA"/>
    <w:rsid w:val="00C15AB1"/>
    <w:rsid w:val="00C15C2F"/>
    <w:rsid w:val="00C16EEE"/>
    <w:rsid w:val="00C175AA"/>
    <w:rsid w:val="00C2097E"/>
    <w:rsid w:val="00C210B6"/>
    <w:rsid w:val="00C22B88"/>
    <w:rsid w:val="00C25701"/>
    <w:rsid w:val="00C25DDE"/>
    <w:rsid w:val="00C26393"/>
    <w:rsid w:val="00C26E56"/>
    <w:rsid w:val="00C30D25"/>
    <w:rsid w:val="00C32F92"/>
    <w:rsid w:val="00C362C3"/>
    <w:rsid w:val="00C37DD2"/>
    <w:rsid w:val="00C41A1C"/>
    <w:rsid w:val="00C46A70"/>
    <w:rsid w:val="00C51C3E"/>
    <w:rsid w:val="00C5576A"/>
    <w:rsid w:val="00C64DA4"/>
    <w:rsid w:val="00C703E1"/>
    <w:rsid w:val="00C73356"/>
    <w:rsid w:val="00C82E05"/>
    <w:rsid w:val="00C84A7C"/>
    <w:rsid w:val="00C84EC5"/>
    <w:rsid w:val="00C9068E"/>
    <w:rsid w:val="00C9083E"/>
    <w:rsid w:val="00C90B6C"/>
    <w:rsid w:val="00C9168E"/>
    <w:rsid w:val="00C9555B"/>
    <w:rsid w:val="00CA19F4"/>
    <w:rsid w:val="00CA25AA"/>
    <w:rsid w:val="00CA3005"/>
    <w:rsid w:val="00CA3E73"/>
    <w:rsid w:val="00CA46FB"/>
    <w:rsid w:val="00CA4CE3"/>
    <w:rsid w:val="00CA5852"/>
    <w:rsid w:val="00CB12CA"/>
    <w:rsid w:val="00CB1985"/>
    <w:rsid w:val="00CB2BC9"/>
    <w:rsid w:val="00CB5066"/>
    <w:rsid w:val="00CB623B"/>
    <w:rsid w:val="00CB7870"/>
    <w:rsid w:val="00CB796D"/>
    <w:rsid w:val="00CC091F"/>
    <w:rsid w:val="00CC1F42"/>
    <w:rsid w:val="00CC200A"/>
    <w:rsid w:val="00CC26CD"/>
    <w:rsid w:val="00CC27A4"/>
    <w:rsid w:val="00CC31FE"/>
    <w:rsid w:val="00CC48BB"/>
    <w:rsid w:val="00CC7A3D"/>
    <w:rsid w:val="00CD0B1B"/>
    <w:rsid w:val="00CD1346"/>
    <w:rsid w:val="00CD17C7"/>
    <w:rsid w:val="00CD2149"/>
    <w:rsid w:val="00CD2729"/>
    <w:rsid w:val="00CD45A6"/>
    <w:rsid w:val="00CD783F"/>
    <w:rsid w:val="00CE2ADE"/>
    <w:rsid w:val="00CF16AD"/>
    <w:rsid w:val="00CF2597"/>
    <w:rsid w:val="00CF29A3"/>
    <w:rsid w:val="00CF378F"/>
    <w:rsid w:val="00CF4ECD"/>
    <w:rsid w:val="00D05F93"/>
    <w:rsid w:val="00D1032A"/>
    <w:rsid w:val="00D11694"/>
    <w:rsid w:val="00D11A57"/>
    <w:rsid w:val="00D137DF"/>
    <w:rsid w:val="00D13F2B"/>
    <w:rsid w:val="00D15004"/>
    <w:rsid w:val="00D16B54"/>
    <w:rsid w:val="00D16B88"/>
    <w:rsid w:val="00D2092E"/>
    <w:rsid w:val="00D21E62"/>
    <w:rsid w:val="00D22282"/>
    <w:rsid w:val="00D226D1"/>
    <w:rsid w:val="00D2566F"/>
    <w:rsid w:val="00D31497"/>
    <w:rsid w:val="00D3338A"/>
    <w:rsid w:val="00D33D3F"/>
    <w:rsid w:val="00D35068"/>
    <w:rsid w:val="00D36B1F"/>
    <w:rsid w:val="00D37917"/>
    <w:rsid w:val="00D40D28"/>
    <w:rsid w:val="00D414A5"/>
    <w:rsid w:val="00D42916"/>
    <w:rsid w:val="00D4373E"/>
    <w:rsid w:val="00D4681D"/>
    <w:rsid w:val="00D46BC5"/>
    <w:rsid w:val="00D519C8"/>
    <w:rsid w:val="00D52AC1"/>
    <w:rsid w:val="00D54028"/>
    <w:rsid w:val="00D54D00"/>
    <w:rsid w:val="00D5684C"/>
    <w:rsid w:val="00D60803"/>
    <w:rsid w:val="00D62C35"/>
    <w:rsid w:val="00D713B3"/>
    <w:rsid w:val="00D73EDE"/>
    <w:rsid w:val="00D85B05"/>
    <w:rsid w:val="00D90142"/>
    <w:rsid w:val="00D9177E"/>
    <w:rsid w:val="00D917AA"/>
    <w:rsid w:val="00D91C21"/>
    <w:rsid w:val="00D91C67"/>
    <w:rsid w:val="00D92770"/>
    <w:rsid w:val="00D949D4"/>
    <w:rsid w:val="00D95E5D"/>
    <w:rsid w:val="00DA693B"/>
    <w:rsid w:val="00DA6EEC"/>
    <w:rsid w:val="00DB6B42"/>
    <w:rsid w:val="00DB6B63"/>
    <w:rsid w:val="00DB6E27"/>
    <w:rsid w:val="00DB71B7"/>
    <w:rsid w:val="00DB77BF"/>
    <w:rsid w:val="00DC06A4"/>
    <w:rsid w:val="00DC1855"/>
    <w:rsid w:val="00DC4A1E"/>
    <w:rsid w:val="00DC6C2C"/>
    <w:rsid w:val="00DD4BA1"/>
    <w:rsid w:val="00DD5598"/>
    <w:rsid w:val="00DD6D4B"/>
    <w:rsid w:val="00DD7F2B"/>
    <w:rsid w:val="00DE0A9E"/>
    <w:rsid w:val="00DE0DFA"/>
    <w:rsid w:val="00DE444E"/>
    <w:rsid w:val="00DE5016"/>
    <w:rsid w:val="00DE5473"/>
    <w:rsid w:val="00DE5C6E"/>
    <w:rsid w:val="00DF1BC7"/>
    <w:rsid w:val="00DF1E04"/>
    <w:rsid w:val="00DF5188"/>
    <w:rsid w:val="00DF57CC"/>
    <w:rsid w:val="00E01A3B"/>
    <w:rsid w:val="00E05B9F"/>
    <w:rsid w:val="00E067DD"/>
    <w:rsid w:val="00E079A9"/>
    <w:rsid w:val="00E105FF"/>
    <w:rsid w:val="00E10877"/>
    <w:rsid w:val="00E11650"/>
    <w:rsid w:val="00E140D1"/>
    <w:rsid w:val="00E14709"/>
    <w:rsid w:val="00E14C5A"/>
    <w:rsid w:val="00E1579A"/>
    <w:rsid w:val="00E157F8"/>
    <w:rsid w:val="00E15D53"/>
    <w:rsid w:val="00E16329"/>
    <w:rsid w:val="00E245CC"/>
    <w:rsid w:val="00E25F4C"/>
    <w:rsid w:val="00E27F08"/>
    <w:rsid w:val="00E30A33"/>
    <w:rsid w:val="00E30B57"/>
    <w:rsid w:val="00E30E47"/>
    <w:rsid w:val="00E34985"/>
    <w:rsid w:val="00E36A24"/>
    <w:rsid w:val="00E36B6A"/>
    <w:rsid w:val="00E438DE"/>
    <w:rsid w:val="00E43B20"/>
    <w:rsid w:val="00E443BD"/>
    <w:rsid w:val="00E4512B"/>
    <w:rsid w:val="00E4580B"/>
    <w:rsid w:val="00E5052C"/>
    <w:rsid w:val="00E52702"/>
    <w:rsid w:val="00E60D15"/>
    <w:rsid w:val="00E61C9B"/>
    <w:rsid w:val="00E6284C"/>
    <w:rsid w:val="00E66792"/>
    <w:rsid w:val="00E715C1"/>
    <w:rsid w:val="00E71DD4"/>
    <w:rsid w:val="00E7246F"/>
    <w:rsid w:val="00E7289A"/>
    <w:rsid w:val="00E72B3D"/>
    <w:rsid w:val="00E74AD9"/>
    <w:rsid w:val="00E75008"/>
    <w:rsid w:val="00E76023"/>
    <w:rsid w:val="00E76188"/>
    <w:rsid w:val="00E762AD"/>
    <w:rsid w:val="00E767D9"/>
    <w:rsid w:val="00E768AF"/>
    <w:rsid w:val="00E77BA7"/>
    <w:rsid w:val="00E806CC"/>
    <w:rsid w:val="00E83016"/>
    <w:rsid w:val="00E83CFA"/>
    <w:rsid w:val="00E847C8"/>
    <w:rsid w:val="00E852B2"/>
    <w:rsid w:val="00E85803"/>
    <w:rsid w:val="00E91BFC"/>
    <w:rsid w:val="00E91C99"/>
    <w:rsid w:val="00E93857"/>
    <w:rsid w:val="00E94332"/>
    <w:rsid w:val="00E9469D"/>
    <w:rsid w:val="00EA019A"/>
    <w:rsid w:val="00EA0659"/>
    <w:rsid w:val="00EA105A"/>
    <w:rsid w:val="00EA149A"/>
    <w:rsid w:val="00EA354B"/>
    <w:rsid w:val="00EA3BEC"/>
    <w:rsid w:val="00EA5570"/>
    <w:rsid w:val="00EB1A04"/>
    <w:rsid w:val="00EB1B1C"/>
    <w:rsid w:val="00EC0358"/>
    <w:rsid w:val="00EC106C"/>
    <w:rsid w:val="00EC2253"/>
    <w:rsid w:val="00EC2BA3"/>
    <w:rsid w:val="00EC48CE"/>
    <w:rsid w:val="00EC58A2"/>
    <w:rsid w:val="00EC72DD"/>
    <w:rsid w:val="00EC7A73"/>
    <w:rsid w:val="00ED2A4C"/>
    <w:rsid w:val="00ED3383"/>
    <w:rsid w:val="00ED4C3C"/>
    <w:rsid w:val="00ED7D88"/>
    <w:rsid w:val="00EE146D"/>
    <w:rsid w:val="00EE18FD"/>
    <w:rsid w:val="00EE222F"/>
    <w:rsid w:val="00EE6B9E"/>
    <w:rsid w:val="00EF000F"/>
    <w:rsid w:val="00EF08C3"/>
    <w:rsid w:val="00EF1871"/>
    <w:rsid w:val="00EF3680"/>
    <w:rsid w:val="00EF3E03"/>
    <w:rsid w:val="00EF472E"/>
    <w:rsid w:val="00EF6121"/>
    <w:rsid w:val="00EF6B45"/>
    <w:rsid w:val="00EF752E"/>
    <w:rsid w:val="00F00974"/>
    <w:rsid w:val="00F051E7"/>
    <w:rsid w:val="00F05CA0"/>
    <w:rsid w:val="00F07857"/>
    <w:rsid w:val="00F1052B"/>
    <w:rsid w:val="00F11A25"/>
    <w:rsid w:val="00F13CAD"/>
    <w:rsid w:val="00F1489F"/>
    <w:rsid w:val="00F14F88"/>
    <w:rsid w:val="00F16F56"/>
    <w:rsid w:val="00F212A9"/>
    <w:rsid w:val="00F21CA2"/>
    <w:rsid w:val="00F23C72"/>
    <w:rsid w:val="00F24BEF"/>
    <w:rsid w:val="00F25553"/>
    <w:rsid w:val="00F266C6"/>
    <w:rsid w:val="00F26D2E"/>
    <w:rsid w:val="00F26FD4"/>
    <w:rsid w:val="00F30BBE"/>
    <w:rsid w:val="00F312BB"/>
    <w:rsid w:val="00F326CD"/>
    <w:rsid w:val="00F361F7"/>
    <w:rsid w:val="00F365E4"/>
    <w:rsid w:val="00F405C3"/>
    <w:rsid w:val="00F424C8"/>
    <w:rsid w:val="00F42F7D"/>
    <w:rsid w:val="00F4417A"/>
    <w:rsid w:val="00F4669A"/>
    <w:rsid w:val="00F468DD"/>
    <w:rsid w:val="00F52458"/>
    <w:rsid w:val="00F527C9"/>
    <w:rsid w:val="00F53140"/>
    <w:rsid w:val="00F5773D"/>
    <w:rsid w:val="00F57B74"/>
    <w:rsid w:val="00F60739"/>
    <w:rsid w:val="00F60BEE"/>
    <w:rsid w:val="00F63EE5"/>
    <w:rsid w:val="00F70A2D"/>
    <w:rsid w:val="00F7225F"/>
    <w:rsid w:val="00F73F28"/>
    <w:rsid w:val="00F740D0"/>
    <w:rsid w:val="00F75087"/>
    <w:rsid w:val="00F7625F"/>
    <w:rsid w:val="00F85C18"/>
    <w:rsid w:val="00F903BD"/>
    <w:rsid w:val="00F90E96"/>
    <w:rsid w:val="00F93393"/>
    <w:rsid w:val="00F941BC"/>
    <w:rsid w:val="00F978AE"/>
    <w:rsid w:val="00F978D7"/>
    <w:rsid w:val="00FA0246"/>
    <w:rsid w:val="00FA2C1C"/>
    <w:rsid w:val="00FA2D5B"/>
    <w:rsid w:val="00FA385C"/>
    <w:rsid w:val="00FB04C0"/>
    <w:rsid w:val="00FB12BD"/>
    <w:rsid w:val="00FB511D"/>
    <w:rsid w:val="00FB6CE0"/>
    <w:rsid w:val="00FB7066"/>
    <w:rsid w:val="00FB7879"/>
    <w:rsid w:val="00FC01B0"/>
    <w:rsid w:val="00FC6189"/>
    <w:rsid w:val="00FC7C0D"/>
    <w:rsid w:val="00FD0091"/>
    <w:rsid w:val="00FD1669"/>
    <w:rsid w:val="00FD29FB"/>
    <w:rsid w:val="00FD3043"/>
    <w:rsid w:val="00FD48DE"/>
    <w:rsid w:val="00FD5BBF"/>
    <w:rsid w:val="00FD5DE4"/>
    <w:rsid w:val="00FD62D3"/>
    <w:rsid w:val="00FD7002"/>
    <w:rsid w:val="00FD7FEC"/>
    <w:rsid w:val="00FE37E6"/>
    <w:rsid w:val="00FE43E2"/>
    <w:rsid w:val="00FF5B0B"/>
    <w:rsid w:val="00FF738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35F91"/>
  <w15:docId w15:val="{4C1FE54B-421C-D447-AEF5-64B7D7731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00" w:line="26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locked="1" w:uiPriority="63"/>
    <w:lsdException w:name="Medium Shading 2" w:locked="1" w:uiPriority="64"/>
    <w:lsdException w:name="Medium List 1" w:locked="1" w:uiPriority="65"/>
    <w:lsdException w:name="Medium List 2" w:locked="1" w:uiPriority="66"/>
    <w:lsdException w:name="Medium Grid 1" w:uiPriority="67"/>
    <w:lsdException w:name="Medium Grid 2" w:locked="1" w:uiPriority="68"/>
    <w:lsdException w:name="Medium Grid 3" w:locked="1"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E92"/>
    <w:pPr>
      <w:spacing w:after="0" w:line="240" w:lineRule="auto"/>
    </w:pPr>
    <w:rPr>
      <w:rFonts w:ascii="Arial" w:hAnsi="Arial"/>
      <w:sz w:val="20"/>
      <w:szCs w:val="24"/>
    </w:rPr>
  </w:style>
  <w:style w:type="paragraph" w:styleId="Heading1">
    <w:name w:val="heading 1"/>
    <w:aliases w:val="green line"/>
    <w:next w:val="Normal"/>
    <w:link w:val="Heading1Char"/>
    <w:uiPriority w:val="9"/>
    <w:qFormat/>
    <w:rsid w:val="00922E6E"/>
    <w:pPr>
      <w:keepNext/>
      <w:keepLines/>
      <w:pBdr>
        <w:top w:val="single" w:sz="12" w:space="5" w:color="48A441"/>
      </w:pBdr>
      <w:spacing w:before="520" w:after="180" w:line="370" w:lineRule="atLeast"/>
      <w:outlineLvl w:val="0"/>
    </w:pPr>
    <w:rPr>
      <w:rFonts w:ascii="Arial" w:eastAsiaTheme="majorEastAsia" w:hAnsi="Arial" w:cstheme="majorBidi"/>
      <w:b/>
      <w:sz w:val="30"/>
      <w:szCs w:val="32"/>
    </w:rPr>
  </w:style>
  <w:style w:type="paragraph" w:styleId="Heading2">
    <w:name w:val="heading 2"/>
    <w:basedOn w:val="Heading1"/>
    <w:next w:val="Normal"/>
    <w:link w:val="Heading2Char"/>
    <w:uiPriority w:val="9"/>
    <w:unhideWhenUsed/>
    <w:qFormat/>
    <w:rsid w:val="008E5310"/>
    <w:pPr>
      <w:numPr>
        <w:ilvl w:val="1"/>
      </w:numPr>
      <w:pBdr>
        <w:top w:val="none" w:sz="0" w:space="0" w:color="auto"/>
      </w:pBdr>
      <w:spacing w:before="240" w:after="40" w:line="280" w:lineRule="exact"/>
      <w:ind w:left="360" w:hanging="360"/>
      <w:outlineLvl w:val="1"/>
    </w:pPr>
    <w:rPr>
      <w:noProof/>
      <w:sz w:val="21"/>
      <w:szCs w:val="26"/>
    </w:rPr>
  </w:style>
  <w:style w:type="paragraph" w:styleId="Heading3">
    <w:name w:val="heading 3"/>
    <w:basedOn w:val="Heading2"/>
    <w:next w:val="Normal"/>
    <w:link w:val="Heading3Char"/>
    <w:uiPriority w:val="9"/>
    <w:unhideWhenUsed/>
    <w:qFormat/>
    <w:rsid w:val="00B94079"/>
    <w:pPr>
      <w:numPr>
        <w:ilvl w:val="2"/>
      </w:numPr>
      <w:spacing w:before="0" w:after="0"/>
      <w:ind w:left="475" w:hanging="475"/>
      <w:outlineLvl w:val="2"/>
    </w:pPr>
    <w:rPr>
      <w:b w:val="0"/>
      <w:szCs w:val="24"/>
    </w:rPr>
  </w:style>
  <w:style w:type="paragraph" w:styleId="Heading4">
    <w:name w:val="heading 4"/>
    <w:basedOn w:val="Heading3"/>
    <w:next w:val="Normal"/>
    <w:link w:val="Heading4Char"/>
    <w:uiPriority w:val="9"/>
    <w:unhideWhenUsed/>
    <w:qFormat/>
    <w:rsid w:val="00BD0F67"/>
    <w:pPr>
      <w:numPr>
        <w:ilvl w:val="0"/>
      </w:numPr>
      <w:spacing w:after="100"/>
      <w:ind w:left="475" w:hanging="475"/>
      <w:outlineLvl w:val="3"/>
    </w:pPr>
    <w:rPr>
      <w:i/>
      <w:iCs/>
      <w:color w:val="00B050"/>
    </w:rPr>
  </w:style>
  <w:style w:type="paragraph" w:styleId="Heading5">
    <w:name w:val="heading 5"/>
    <w:basedOn w:val="Heading4"/>
    <w:next w:val="Normal"/>
    <w:link w:val="Heading5Char"/>
    <w:uiPriority w:val="9"/>
    <w:unhideWhenUsed/>
    <w:qFormat/>
    <w:rsid w:val="00BD0F67"/>
    <w:pPr>
      <w:numPr>
        <w:ilvl w:val="4"/>
      </w:numPr>
      <w:spacing w:after="40" w:line="284" w:lineRule="exact"/>
      <w:ind w:left="475" w:hanging="475"/>
      <w:outlineLvl w:val="4"/>
    </w:pPr>
    <w:rPr>
      <w:i w:val="0"/>
      <w:color w:val="auto"/>
      <w:sz w:val="22"/>
    </w:rPr>
  </w:style>
  <w:style w:type="paragraph" w:styleId="Heading6">
    <w:name w:val="heading 6"/>
    <w:basedOn w:val="Heading5"/>
    <w:next w:val="Normal"/>
    <w:link w:val="Heading6Char"/>
    <w:uiPriority w:val="9"/>
    <w:unhideWhenUsed/>
    <w:qFormat/>
    <w:rsid w:val="00EA3BEC"/>
    <w:pPr>
      <w:numPr>
        <w:ilvl w:val="5"/>
      </w:numPr>
      <w:ind w:left="475" w:hanging="475"/>
      <w:outlineLvl w:val="5"/>
    </w:pPr>
    <w:rPr>
      <w:color w:val="1F3763" w:themeColor="accent1" w:themeShade="7F"/>
    </w:rPr>
  </w:style>
  <w:style w:type="paragraph" w:styleId="Heading7">
    <w:name w:val="heading 7"/>
    <w:basedOn w:val="Heading6"/>
    <w:next w:val="Normal"/>
    <w:link w:val="Heading7Char"/>
    <w:uiPriority w:val="9"/>
    <w:unhideWhenUsed/>
    <w:qFormat/>
    <w:rsid w:val="00EA3BEC"/>
    <w:pPr>
      <w:numPr>
        <w:ilvl w:val="6"/>
      </w:numPr>
      <w:ind w:left="475" w:hanging="475"/>
      <w:outlineLvl w:val="6"/>
    </w:pPr>
    <w:rPr>
      <w:color w:val="404040" w:themeColor="text1" w:themeTint="BF"/>
    </w:rPr>
  </w:style>
  <w:style w:type="paragraph" w:styleId="Heading8">
    <w:name w:val="heading 8"/>
    <w:basedOn w:val="Heading7"/>
    <w:next w:val="Normal"/>
    <w:link w:val="Heading8Char"/>
    <w:uiPriority w:val="9"/>
    <w:unhideWhenUsed/>
    <w:qFormat/>
    <w:rsid w:val="00EA3BEC"/>
    <w:pPr>
      <w:numPr>
        <w:ilvl w:val="7"/>
      </w:numPr>
      <w:ind w:left="475" w:hanging="475"/>
      <w:outlineLvl w:val="7"/>
    </w:pPr>
    <w:rPr>
      <w:sz w:val="20"/>
      <w:szCs w:val="20"/>
    </w:rPr>
  </w:style>
  <w:style w:type="paragraph" w:styleId="Heading9">
    <w:name w:val="heading 9"/>
    <w:basedOn w:val="Heading8"/>
    <w:next w:val="Normal"/>
    <w:link w:val="Heading9Char"/>
    <w:uiPriority w:val="9"/>
    <w:unhideWhenUsed/>
    <w:qFormat/>
    <w:rsid w:val="00EA3BEC"/>
    <w:pPr>
      <w:numPr>
        <w:ilvl w:val="8"/>
      </w:numPr>
      <w:ind w:left="475" w:hanging="475"/>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searchreporttitle">
    <w:name w:val="research report title"/>
    <w:qFormat/>
    <w:rsid w:val="00825FF6"/>
    <w:pPr>
      <w:spacing w:after="0" w:line="200" w:lineRule="exact"/>
      <w:jc w:val="right"/>
    </w:pPr>
    <w:rPr>
      <w:rFonts w:ascii="Nunito Sans ExtraBold" w:hAnsi="Nunito Sans ExtraBold"/>
      <w:sz w:val="16"/>
    </w:rPr>
  </w:style>
  <w:style w:type="table" w:styleId="TableGrid">
    <w:name w:val="Table Grid"/>
    <w:basedOn w:val="TableNormal"/>
    <w:uiPriority w:val="39"/>
    <w:rsid w:val="00A379A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green line Char"/>
    <w:basedOn w:val="DefaultParagraphFont"/>
    <w:link w:val="Heading1"/>
    <w:uiPriority w:val="9"/>
    <w:rsid w:val="00922E6E"/>
    <w:rPr>
      <w:rFonts w:ascii="Arial" w:eastAsiaTheme="majorEastAsia" w:hAnsi="Arial" w:cstheme="majorBidi"/>
      <w:b/>
      <w:sz w:val="30"/>
      <w:szCs w:val="32"/>
    </w:rPr>
  </w:style>
  <w:style w:type="character" w:customStyle="1" w:styleId="maintextinlinebold">
    <w:name w:val="main text (inline bold)"/>
    <w:basedOn w:val="DefaultParagraphFont"/>
    <w:uiPriority w:val="1"/>
    <w:qFormat/>
    <w:rsid w:val="00531FBB"/>
    <w:rPr>
      <w:b/>
    </w:rPr>
  </w:style>
  <w:style w:type="character" w:styleId="Hyperlink">
    <w:name w:val="Hyperlink"/>
    <w:basedOn w:val="DefaultParagraphFont"/>
    <w:uiPriority w:val="99"/>
    <w:unhideWhenUsed/>
    <w:rsid w:val="00726362"/>
    <w:rPr>
      <w:rFonts w:eastAsia="Arial" w:cs="Arial"/>
      <w:color w:val="2781A2"/>
      <w:szCs w:val="20"/>
      <w:u w:val="none"/>
    </w:rPr>
  </w:style>
  <w:style w:type="character" w:styleId="FootnoteReference">
    <w:name w:val="footnote reference"/>
    <w:basedOn w:val="DefaultParagraphFont"/>
    <w:unhideWhenUsed/>
    <w:rsid w:val="00215B3B"/>
    <w:rPr>
      <w:rFonts w:ascii="Times New Roman" w:hAnsi="Times New Roman"/>
      <w:color w:val="auto"/>
      <w:sz w:val="20"/>
      <w:vertAlign w:val="superscript"/>
    </w:rPr>
  </w:style>
  <w:style w:type="paragraph" w:customStyle="1" w:styleId="Headertitlesmalltopright">
    <w:name w:val="Header title small (top right)"/>
    <w:qFormat/>
    <w:rsid w:val="00AE3105"/>
    <w:pPr>
      <w:spacing w:after="0" w:line="200" w:lineRule="exact"/>
      <w:jc w:val="right"/>
    </w:pPr>
    <w:rPr>
      <w:rFonts w:ascii="Nunito Sans ExtraBold" w:hAnsi="Nunito Sans ExtraBold"/>
      <w:color w:val="FFFFFF" w:themeColor="background1"/>
      <w:sz w:val="16"/>
    </w:rPr>
  </w:style>
  <w:style w:type="paragraph" w:customStyle="1" w:styleId="MainTextBody">
    <w:name w:val="Main Text Body"/>
    <w:qFormat/>
    <w:rsid w:val="00840E92"/>
    <w:pPr>
      <w:spacing w:after="120" w:line="270" w:lineRule="exact"/>
    </w:pPr>
    <w:rPr>
      <w:rFonts w:ascii="Arial" w:hAnsi="Arial"/>
      <w:noProof/>
      <w:sz w:val="20"/>
    </w:rPr>
  </w:style>
  <w:style w:type="paragraph" w:customStyle="1" w:styleId="subhead2ndlevel">
    <w:name w:val="subhead (2nd level)"/>
    <w:qFormat/>
    <w:rsid w:val="00D917AA"/>
    <w:pPr>
      <w:keepNext/>
      <w:spacing w:before="240" w:after="40" w:line="270" w:lineRule="exact"/>
    </w:pPr>
    <w:rPr>
      <w:rFonts w:ascii="Nunito Sans ExtraBold" w:hAnsi="Nunito Sans ExtraBold"/>
      <w:b/>
      <w:noProof/>
      <w:sz w:val="19"/>
    </w:rPr>
  </w:style>
  <w:style w:type="paragraph" w:styleId="TOCHeading">
    <w:name w:val="TOC Heading"/>
    <w:next w:val="Normal"/>
    <w:uiPriority w:val="39"/>
    <w:unhideWhenUsed/>
    <w:qFormat/>
    <w:rsid w:val="00124C6B"/>
    <w:pPr>
      <w:pBdr>
        <w:top w:val="single" w:sz="8" w:space="8" w:color="auto"/>
      </w:pBdr>
      <w:spacing w:after="200"/>
      <w:ind w:left="3024"/>
    </w:pPr>
    <w:rPr>
      <w:rFonts w:ascii="Nunito Sans ExtraBold" w:eastAsiaTheme="majorEastAsia" w:hAnsi="Nunito Sans ExtraBold" w:cstheme="majorBidi"/>
      <w:b/>
      <w:caps/>
      <w:sz w:val="18"/>
      <w:szCs w:val="32"/>
    </w:rPr>
  </w:style>
  <w:style w:type="paragraph" w:styleId="TOC1">
    <w:name w:val="toc 1"/>
    <w:next w:val="Normal"/>
    <w:uiPriority w:val="39"/>
    <w:unhideWhenUsed/>
    <w:qFormat/>
    <w:rsid w:val="00BA63EE"/>
    <w:pPr>
      <w:spacing w:before="360" w:after="0" w:line="240" w:lineRule="auto"/>
    </w:pPr>
    <w:rPr>
      <w:rFonts w:asciiTheme="majorHAnsi" w:hAnsiTheme="majorHAnsi" w:cs="Arial (Headings)"/>
      <w:b/>
      <w:bCs/>
      <w:sz w:val="24"/>
      <w:szCs w:val="24"/>
    </w:rPr>
  </w:style>
  <w:style w:type="paragraph" w:customStyle="1" w:styleId="tabletextquestions">
    <w:name w:val="table text questions"/>
    <w:basedOn w:val="TableBody"/>
    <w:qFormat/>
    <w:rsid w:val="00512179"/>
    <w:pPr>
      <w:ind w:left="216" w:hanging="216"/>
    </w:pPr>
  </w:style>
  <w:style w:type="paragraph" w:customStyle="1" w:styleId="footerpagenumber">
    <w:name w:val="footer (page number)"/>
    <w:qFormat/>
    <w:rsid w:val="008C570C"/>
    <w:pPr>
      <w:spacing w:after="0" w:line="180" w:lineRule="exact"/>
    </w:pPr>
    <w:rPr>
      <w:rFonts w:ascii="Nunito Sans SemiBold" w:hAnsi="Nunito Sans SemiBold"/>
      <w:sz w:val="15"/>
    </w:rPr>
  </w:style>
  <w:style w:type="paragraph" w:styleId="ListNumber">
    <w:name w:val="List Number"/>
    <w:uiPriority w:val="99"/>
    <w:unhideWhenUsed/>
    <w:rsid w:val="00216772"/>
    <w:pPr>
      <w:numPr>
        <w:numId w:val="3"/>
      </w:numPr>
      <w:tabs>
        <w:tab w:val="left" w:pos="0"/>
      </w:tabs>
    </w:pPr>
    <w:rPr>
      <w:rFonts w:ascii="Nunito Sans" w:hAnsi="Nunito Sans"/>
      <w:sz w:val="19"/>
    </w:rPr>
  </w:style>
  <w:style w:type="paragraph" w:styleId="ListBullet">
    <w:name w:val="List Bullet"/>
    <w:uiPriority w:val="99"/>
    <w:unhideWhenUsed/>
    <w:rsid w:val="0036282C"/>
    <w:rPr>
      <w:rFonts w:ascii="Nunito Sans" w:hAnsi="Nunito Sans"/>
      <w:sz w:val="19"/>
    </w:rPr>
  </w:style>
  <w:style w:type="paragraph" w:styleId="ListBullet2">
    <w:name w:val="List Bullet 2"/>
    <w:basedOn w:val="MainTextBody"/>
    <w:uiPriority w:val="99"/>
    <w:unhideWhenUsed/>
    <w:rsid w:val="0036282C"/>
    <w:pPr>
      <w:numPr>
        <w:numId w:val="2"/>
      </w:numPr>
      <w:tabs>
        <w:tab w:val="left" w:pos="360"/>
      </w:tabs>
    </w:pPr>
  </w:style>
  <w:style w:type="character" w:customStyle="1" w:styleId="Heading2Char">
    <w:name w:val="Heading 2 Char"/>
    <w:basedOn w:val="DefaultParagraphFont"/>
    <w:link w:val="Heading2"/>
    <w:uiPriority w:val="9"/>
    <w:rsid w:val="008E5310"/>
    <w:rPr>
      <w:rFonts w:ascii="Nunito Sans ExtraBold" w:eastAsiaTheme="majorEastAsia" w:hAnsi="Nunito Sans ExtraBold" w:cstheme="majorBidi"/>
      <w:b/>
      <w:noProof/>
      <w:sz w:val="21"/>
      <w:szCs w:val="26"/>
    </w:rPr>
  </w:style>
  <w:style w:type="character" w:customStyle="1" w:styleId="Heading3Char">
    <w:name w:val="Heading 3 Char"/>
    <w:basedOn w:val="DefaultParagraphFont"/>
    <w:link w:val="Heading3"/>
    <w:uiPriority w:val="9"/>
    <w:rsid w:val="00B94079"/>
    <w:rPr>
      <w:rFonts w:ascii="Nunito Sans ExtraBold" w:eastAsiaTheme="majorEastAsia" w:hAnsi="Nunito Sans ExtraBold" w:cstheme="majorBidi"/>
      <w:noProof/>
      <w:sz w:val="21"/>
      <w:szCs w:val="24"/>
    </w:rPr>
  </w:style>
  <w:style w:type="paragraph" w:styleId="TOC2">
    <w:name w:val="toc 2"/>
    <w:next w:val="Normal"/>
    <w:uiPriority w:val="39"/>
    <w:unhideWhenUsed/>
    <w:qFormat/>
    <w:rsid w:val="00F326CD"/>
    <w:pPr>
      <w:spacing w:before="240" w:after="0" w:line="240" w:lineRule="auto"/>
    </w:pPr>
    <w:rPr>
      <w:rFonts w:cstheme="minorHAnsi"/>
      <w:b/>
      <w:bCs/>
      <w:sz w:val="20"/>
      <w:szCs w:val="20"/>
    </w:rPr>
  </w:style>
  <w:style w:type="paragraph" w:styleId="TOC3">
    <w:name w:val="toc 3"/>
    <w:next w:val="Normal"/>
    <w:uiPriority w:val="39"/>
    <w:unhideWhenUsed/>
    <w:qFormat/>
    <w:rsid w:val="00BD0F67"/>
    <w:pPr>
      <w:spacing w:after="0" w:line="240" w:lineRule="auto"/>
      <w:ind w:left="240"/>
    </w:pPr>
    <w:rPr>
      <w:rFonts w:cstheme="minorHAnsi"/>
      <w:sz w:val="20"/>
      <w:szCs w:val="20"/>
    </w:rPr>
  </w:style>
  <w:style w:type="character" w:customStyle="1" w:styleId="Heading4Char">
    <w:name w:val="Heading 4 Char"/>
    <w:basedOn w:val="DefaultParagraphFont"/>
    <w:link w:val="Heading4"/>
    <w:uiPriority w:val="9"/>
    <w:rsid w:val="00BD0F67"/>
    <w:rPr>
      <w:rFonts w:ascii="Nunito Sans ExtraBold" w:eastAsiaTheme="majorEastAsia" w:hAnsi="Nunito Sans ExtraBold" w:cstheme="majorBidi"/>
      <w:i/>
      <w:iCs/>
      <w:noProof/>
      <w:color w:val="00B050"/>
      <w:sz w:val="21"/>
      <w:szCs w:val="24"/>
    </w:rPr>
  </w:style>
  <w:style w:type="paragraph" w:styleId="FootnoteText">
    <w:name w:val="footnote text"/>
    <w:aliases w:val="Footnote Text (bottom)"/>
    <w:link w:val="FootnoteTextChar"/>
    <w:uiPriority w:val="99"/>
    <w:unhideWhenUsed/>
    <w:rsid w:val="009E5CDD"/>
    <w:pPr>
      <w:spacing w:line="190" w:lineRule="exact"/>
      <w:ind w:left="259" w:hanging="259"/>
    </w:pPr>
    <w:rPr>
      <w:rFonts w:asciiTheme="majorHAnsi" w:hAnsiTheme="majorHAnsi"/>
      <w:sz w:val="15"/>
      <w:szCs w:val="20"/>
    </w:rPr>
  </w:style>
  <w:style w:type="character" w:customStyle="1" w:styleId="FootnoteTextChar">
    <w:name w:val="Footnote Text Char"/>
    <w:aliases w:val="Footnote Text (bottom) Char"/>
    <w:basedOn w:val="DefaultParagraphFont"/>
    <w:link w:val="FootnoteText"/>
    <w:uiPriority w:val="99"/>
    <w:rsid w:val="009E5CDD"/>
    <w:rPr>
      <w:rFonts w:asciiTheme="majorHAnsi" w:hAnsiTheme="majorHAnsi"/>
      <w:sz w:val="15"/>
      <w:szCs w:val="20"/>
    </w:rPr>
  </w:style>
  <w:style w:type="character" w:styleId="PlaceholderText">
    <w:name w:val="Placeholder Text"/>
    <w:basedOn w:val="DefaultParagraphFont"/>
    <w:uiPriority w:val="99"/>
    <w:semiHidden/>
    <w:rsid w:val="00221E52"/>
    <w:rPr>
      <w:color w:val="808080"/>
    </w:rPr>
  </w:style>
  <w:style w:type="paragraph" w:customStyle="1" w:styleId="tableheadergreenbar">
    <w:name w:val="table (header green bar)"/>
    <w:qFormat/>
    <w:rsid w:val="0020371F"/>
    <w:pPr>
      <w:spacing w:after="0"/>
    </w:pPr>
    <w:rPr>
      <w:rFonts w:ascii="Nunito Sans ExtraBold" w:hAnsi="Nunito Sans ExtraBold"/>
      <w:b/>
      <w:color w:val="FFFFFF" w:themeColor="background1"/>
      <w:sz w:val="19"/>
      <w:szCs w:val="18"/>
    </w:rPr>
  </w:style>
  <w:style w:type="character" w:customStyle="1" w:styleId="tabletextblackinline">
    <w:name w:val="table (text black inline)"/>
    <w:uiPriority w:val="1"/>
    <w:qFormat/>
    <w:rsid w:val="00C06E76"/>
    <w:rPr>
      <w:rFonts w:ascii="Nunito Sans ExtraBold" w:hAnsi="Nunito Sans ExtraBold"/>
      <w:b w:val="0"/>
      <w:i w:val="0"/>
      <w:color w:val="000000" w:themeColor="text1"/>
      <w:sz w:val="18"/>
    </w:rPr>
  </w:style>
  <w:style w:type="paragraph" w:customStyle="1" w:styleId="TableBody">
    <w:name w:val="Table Body"/>
    <w:qFormat/>
    <w:rsid w:val="00512179"/>
    <w:pPr>
      <w:tabs>
        <w:tab w:val="left" w:pos="360"/>
        <w:tab w:val="right" w:pos="432"/>
      </w:tabs>
      <w:spacing w:after="120" w:line="276" w:lineRule="auto"/>
    </w:pPr>
    <w:rPr>
      <w:rFonts w:ascii="Arial" w:hAnsi="Arial" w:cs="Calibri"/>
      <w:color w:val="000000" w:themeColor="text1"/>
      <w:sz w:val="20"/>
    </w:rPr>
  </w:style>
  <w:style w:type="character" w:customStyle="1" w:styleId="Heading5Char">
    <w:name w:val="Heading 5 Char"/>
    <w:basedOn w:val="DefaultParagraphFont"/>
    <w:link w:val="Heading5"/>
    <w:uiPriority w:val="9"/>
    <w:rsid w:val="00BD0F67"/>
    <w:rPr>
      <w:rFonts w:ascii="Nunito Sans ExtraBold" w:eastAsiaTheme="majorEastAsia" w:hAnsi="Nunito Sans ExtraBold" w:cstheme="majorBidi"/>
      <w:iCs/>
      <w:noProof/>
      <w:szCs w:val="24"/>
    </w:rPr>
  </w:style>
  <w:style w:type="character" w:customStyle="1" w:styleId="Heading6Char">
    <w:name w:val="Heading 6 Char"/>
    <w:basedOn w:val="DefaultParagraphFont"/>
    <w:link w:val="Heading6"/>
    <w:uiPriority w:val="9"/>
    <w:rsid w:val="00EA3BEC"/>
    <w:rPr>
      <w:rFonts w:asciiTheme="majorHAnsi" w:eastAsiaTheme="majorEastAsia" w:hAnsiTheme="majorHAnsi" w:cstheme="majorBidi"/>
      <w:b/>
      <w:i/>
      <w:iCs/>
      <w:noProof/>
      <w:color w:val="1F3763" w:themeColor="accent1" w:themeShade="7F"/>
      <w:sz w:val="18"/>
      <w:szCs w:val="24"/>
    </w:rPr>
  </w:style>
  <w:style w:type="character" w:customStyle="1" w:styleId="Heading7Char">
    <w:name w:val="Heading 7 Char"/>
    <w:basedOn w:val="DefaultParagraphFont"/>
    <w:link w:val="Heading7"/>
    <w:uiPriority w:val="9"/>
    <w:rsid w:val="00EA3BEC"/>
    <w:rPr>
      <w:rFonts w:asciiTheme="majorHAnsi" w:eastAsiaTheme="majorEastAsia" w:hAnsiTheme="majorHAnsi" w:cstheme="majorBidi"/>
      <w:b/>
      <w:i/>
      <w:iCs/>
      <w:noProof/>
      <w:color w:val="404040" w:themeColor="text1" w:themeTint="BF"/>
      <w:sz w:val="18"/>
      <w:szCs w:val="24"/>
    </w:rPr>
  </w:style>
  <w:style w:type="character" w:customStyle="1" w:styleId="Heading8Char">
    <w:name w:val="Heading 8 Char"/>
    <w:basedOn w:val="DefaultParagraphFont"/>
    <w:link w:val="Heading8"/>
    <w:uiPriority w:val="9"/>
    <w:rsid w:val="00EA3BEC"/>
    <w:rPr>
      <w:rFonts w:asciiTheme="majorHAnsi" w:eastAsiaTheme="majorEastAsia" w:hAnsiTheme="majorHAnsi" w:cstheme="majorBidi"/>
      <w:b/>
      <w:i/>
      <w:iCs/>
      <w:noProof/>
      <w:color w:val="404040" w:themeColor="text1" w:themeTint="BF"/>
      <w:sz w:val="20"/>
      <w:szCs w:val="20"/>
    </w:rPr>
  </w:style>
  <w:style w:type="character" w:customStyle="1" w:styleId="Heading9Char">
    <w:name w:val="Heading 9 Char"/>
    <w:basedOn w:val="DefaultParagraphFont"/>
    <w:link w:val="Heading9"/>
    <w:uiPriority w:val="9"/>
    <w:rsid w:val="00EA3BEC"/>
    <w:rPr>
      <w:rFonts w:asciiTheme="majorHAnsi" w:eastAsiaTheme="majorEastAsia" w:hAnsiTheme="majorHAnsi" w:cstheme="majorBidi"/>
      <w:b/>
      <w:i/>
      <w:iCs/>
      <w:noProof/>
      <w:color w:val="404040" w:themeColor="text1" w:themeTint="BF"/>
      <w:sz w:val="20"/>
      <w:szCs w:val="20"/>
    </w:rPr>
  </w:style>
  <w:style w:type="paragraph" w:customStyle="1" w:styleId="Subhead">
    <w:name w:val="Subhead"/>
    <w:qFormat/>
    <w:rsid w:val="00D917AA"/>
    <w:pPr>
      <w:spacing w:before="240" w:line="280" w:lineRule="exact"/>
    </w:pPr>
    <w:rPr>
      <w:rFonts w:ascii="Nunito Sans ExtraBold" w:hAnsi="Nunito Sans ExtraBold"/>
      <w:b/>
      <w:noProof/>
      <w:sz w:val="21"/>
    </w:rPr>
  </w:style>
  <w:style w:type="paragraph" w:customStyle="1" w:styleId="URLbottom">
    <w:name w:val="URL bottom"/>
    <w:qFormat/>
    <w:rsid w:val="00D90142"/>
    <w:pPr>
      <w:spacing w:line="190" w:lineRule="exact"/>
    </w:pPr>
    <w:rPr>
      <w:rFonts w:ascii="Arial" w:hAnsi="Arial"/>
      <w:noProof/>
      <w:sz w:val="15"/>
      <w:szCs w:val="24"/>
    </w:rPr>
  </w:style>
  <w:style w:type="paragraph" w:customStyle="1" w:styleId="covertitle">
    <w:name w:val="cover (title)"/>
    <w:qFormat/>
    <w:rsid w:val="00140D88"/>
    <w:pPr>
      <w:spacing w:after="0" w:line="520" w:lineRule="exact"/>
    </w:pPr>
    <w:rPr>
      <w:rFonts w:ascii="Nunito Sans ExtraBold" w:eastAsiaTheme="majorEastAsia" w:hAnsi="Nunito Sans ExtraBold" w:cstheme="majorBidi"/>
      <w:b/>
      <w:noProof/>
      <w:color w:val="FFFFFF" w:themeColor="background1"/>
      <w:spacing w:val="-10"/>
      <w:kern w:val="28"/>
      <w:sz w:val="44"/>
      <w:szCs w:val="56"/>
    </w:rPr>
  </w:style>
  <w:style w:type="paragraph" w:customStyle="1" w:styleId="ListBulletspaceafter">
    <w:name w:val="List Bullet (space after)"/>
    <w:basedOn w:val="ListBullet"/>
    <w:qFormat/>
    <w:rsid w:val="00FB7879"/>
    <w:pPr>
      <w:spacing w:after="240"/>
    </w:pPr>
  </w:style>
  <w:style w:type="table" w:styleId="LightShading-Accent3">
    <w:name w:val="Light Shading Accent 3"/>
    <w:basedOn w:val="TableNormal"/>
    <w:uiPriority w:val="60"/>
    <w:rsid w:val="009F2478"/>
    <w:pPr>
      <w:spacing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TOC4">
    <w:name w:val="toc 4"/>
    <w:next w:val="Normal"/>
    <w:autoRedefine/>
    <w:uiPriority w:val="39"/>
    <w:unhideWhenUsed/>
    <w:rsid w:val="00BD0F67"/>
    <w:pPr>
      <w:spacing w:after="0" w:line="240" w:lineRule="auto"/>
      <w:ind w:left="480"/>
    </w:pPr>
    <w:rPr>
      <w:rFonts w:cstheme="minorHAnsi"/>
      <w:sz w:val="20"/>
      <w:szCs w:val="20"/>
    </w:rPr>
  </w:style>
  <w:style w:type="numbering" w:customStyle="1" w:styleId="numberedlist">
    <w:name w:val="numbered list"/>
    <w:uiPriority w:val="99"/>
    <w:rsid w:val="00935F44"/>
    <w:pPr>
      <w:numPr>
        <w:numId w:val="8"/>
      </w:numPr>
    </w:pPr>
  </w:style>
  <w:style w:type="paragraph" w:styleId="ListContinue">
    <w:name w:val="List Continue"/>
    <w:next w:val="Normal"/>
    <w:uiPriority w:val="99"/>
    <w:unhideWhenUsed/>
    <w:rsid w:val="00C30D25"/>
    <w:pPr>
      <w:tabs>
        <w:tab w:val="left" w:pos="360"/>
      </w:tabs>
      <w:ind w:left="720"/>
    </w:pPr>
    <w:rPr>
      <w:rFonts w:ascii="Nunito Sans" w:hAnsi="Nunito Sans"/>
      <w:sz w:val="19"/>
    </w:rPr>
  </w:style>
  <w:style w:type="character" w:customStyle="1" w:styleId="maintextitalicinline">
    <w:name w:val="main text (italic inline)"/>
    <w:uiPriority w:val="1"/>
    <w:qFormat/>
    <w:rsid w:val="00734BB1"/>
    <w:rPr>
      <w:rFonts w:ascii="Nunito Sans" w:hAnsi="Nunito Sans"/>
      <w:i/>
      <w:color w:val="auto"/>
    </w:rPr>
  </w:style>
  <w:style w:type="paragraph" w:styleId="ListContinue2">
    <w:name w:val="List Continue 2"/>
    <w:uiPriority w:val="99"/>
    <w:unhideWhenUsed/>
    <w:rsid w:val="00C30D25"/>
    <w:pPr>
      <w:ind w:left="1080"/>
      <w:contextualSpacing/>
    </w:pPr>
    <w:rPr>
      <w:rFonts w:ascii="Nunito Sans" w:hAnsi="Nunito Sans"/>
      <w:sz w:val="19"/>
    </w:rPr>
  </w:style>
  <w:style w:type="character" w:styleId="UnresolvedMention">
    <w:name w:val="Unresolved Mention"/>
    <w:basedOn w:val="DefaultParagraphFont"/>
    <w:uiPriority w:val="99"/>
    <w:semiHidden/>
    <w:unhideWhenUsed/>
    <w:rsid w:val="00944E11"/>
    <w:rPr>
      <w:color w:val="808080"/>
      <w:shd w:val="clear" w:color="auto" w:fill="E6E6E6"/>
    </w:rPr>
  </w:style>
  <w:style w:type="paragraph" w:styleId="EndnoteText">
    <w:name w:val="endnote text"/>
    <w:basedOn w:val="Normal"/>
    <w:link w:val="EndnoteTextChar"/>
    <w:uiPriority w:val="99"/>
    <w:semiHidden/>
    <w:unhideWhenUsed/>
    <w:rsid w:val="009F3582"/>
    <w:rPr>
      <w:szCs w:val="20"/>
    </w:rPr>
  </w:style>
  <w:style w:type="character" w:customStyle="1" w:styleId="EndnoteTextChar">
    <w:name w:val="Endnote Text Char"/>
    <w:basedOn w:val="DefaultParagraphFont"/>
    <w:link w:val="EndnoteText"/>
    <w:uiPriority w:val="99"/>
    <w:semiHidden/>
    <w:rsid w:val="009F3582"/>
    <w:rPr>
      <w:sz w:val="20"/>
      <w:szCs w:val="20"/>
    </w:rPr>
  </w:style>
  <w:style w:type="character" w:styleId="EndnoteReference">
    <w:name w:val="endnote reference"/>
    <w:basedOn w:val="DefaultParagraphFont"/>
    <w:uiPriority w:val="99"/>
    <w:semiHidden/>
    <w:unhideWhenUsed/>
    <w:rsid w:val="009F3582"/>
    <w:rPr>
      <w:vertAlign w:val="superscript"/>
    </w:rPr>
  </w:style>
  <w:style w:type="numbering" w:customStyle="1" w:styleId="headingsosf">
    <w:name w:val="headings osf"/>
    <w:uiPriority w:val="99"/>
    <w:rsid w:val="00407A4D"/>
    <w:pPr>
      <w:numPr>
        <w:numId w:val="14"/>
      </w:numPr>
    </w:pPr>
  </w:style>
  <w:style w:type="paragraph" w:customStyle="1" w:styleId="MainTextspaceafter">
    <w:name w:val="Main Text (space after)"/>
    <w:basedOn w:val="MainTextBody"/>
    <w:qFormat/>
    <w:rsid w:val="00056552"/>
    <w:pPr>
      <w:spacing w:after="400"/>
    </w:pPr>
  </w:style>
  <w:style w:type="paragraph" w:customStyle="1" w:styleId="CopyrightText">
    <w:name w:val="Copyright Text"/>
    <w:qFormat/>
    <w:rsid w:val="00B72486"/>
    <w:pPr>
      <w:spacing w:after="0" w:line="264" w:lineRule="auto"/>
    </w:pPr>
    <w:rPr>
      <w:rFonts w:ascii="Arial" w:hAnsi="Arial" w:cs="Times New Roman (Body CS)"/>
      <w:sz w:val="16"/>
    </w:rPr>
  </w:style>
  <w:style w:type="character" w:styleId="PageNumber">
    <w:name w:val="page number"/>
    <w:basedOn w:val="DefaultParagraphFont"/>
    <w:uiPriority w:val="99"/>
    <w:unhideWhenUsed/>
    <w:rsid w:val="00D90142"/>
    <w:rPr>
      <w:rFonts w:ascii="Arial" w:hAnsi="Arial"/>
      <w:b/>
      <w:i w:val="0"/>
      <w:sz w:val="17"/>
    </w:rPr>
  </w:style>
  <w:style w:type="paragraph" w:customStyle="1" w:styleId="MainTextspacebefore">
    <w:name w:val="Main Text (space before)"/>
    <w:basedOn w:val="MainTextBody"/>
    <w:qFormat/>
    <w:rsid w:val="001349F2"/>
    <w:pPr>
      <w:spacing w:before="400"/>
    </w:pPr>
  </w:style>
  <w:style w:type="paragraph" w:styleId="Header">
    <w:name w:val="header"/>
    <w:basedOn w:val="Normal"/>
    <w:link w:val="HeaderChar"/>
    <w:uiPriority w:val="99"/>
    <w:unhideWhenUsed/>
    <w:rsid w:val="008D6F6B"/>
    <w:pPr>
      <w:tabs>
        <w:tab w:val="center" w:pos="4680"/>
        <w:tab w:val="right" w:pos="9360"/>
      </w:tabs>
    </w:pPr>
  </w:style>
  <w:style w:type="character" w:customStyle="1" w:styleId="HeaderChar">
    <w:name w:val="Header Char"/>
    <w:basedOn w:val="DefaultParagraphFont"/>
    <w:link w:val="Header"/>
    <w:uiPriority w:val="99"/>
    <w:rsid w:val="008D6F6B"/>
  </w:style>
  <w:style w:type="paragraph" w:styleId="Footer">
    <w:name w:val="footer"/>
    <w:basedOn w:val="Normal"/>
    <w:link w:val="FooterChar"/>
    <w:uiPriority w:val="99"/>
    <w:unhideWhenUsed/>
    <w:rsid w:val="008D6F6B"/>
    <w:pPr>
      <w:tabs>
        <w:tab w:val="center" w:pos="4680"/>
        <w:tab w:val="right" w:pos="9360"/>
      </w:tabs>
    </w:pPr>
  </w:style>
  <w:style w:type="character" w:customStyle="1" w:styleId="FooterChar">
    <w:name w:val="Footer Char"/>
    <w:basedOn w:val="DefaultParagraphFont"/>
    <w:link w:val="Footer"/>
    <w:uiPriority w:val="99"/>
    <w:rsid w:val="008D6F6B"/>
  </w:style>
  <w:style w:type="paragraph" w:customStyle="1" w:styleId="tablebulletslevelone">
    <w:name w:val="table (bullets level one)"/>
    <w:basedOn w:val="TableBody"/>
    <w:qFormat/>
    <w:rsid w:val="00512179"/>
    <w:pPr>
      <w:numPr>
        <w:numId w:val="42"/>
      </w:numPr>
      <w:spacing w:after="60"/>
      <w:ind w:left="187" w:hanging="187"/>
    </w:pPr>
  </w:style>
  <w:style w:type="paragraph" w:customStyle="1" w:styleId="tablebulletsleveltwo">
    <w:name w:val="table (bullets level two)"/>
    <w:basedOn w:val="tablebulletslevelone"/>
    <w:qFormat/>
    <w:rsid w:val="00512179"/>
    <w:pPr>
      <w:numPr>
        <w:numId w:val="44"/>
      </w:numPr>
      <w:spacing w:line="270" w:lineRule="exact"/>
      <w:ind w:left="547" w:hanging="187"/>
    </w:pPr>
  </w:style>
  <w:style w:type="paragraph" w:customStyle="1" w:styleId="BulletBody">
    <w:name w:val="Bullet Body"/>
    <w:qFormat/>
    <w:rsid w:val="001C6772"/>
    <w:pPr>
      <w:numPr>
        <w:numId w:val="29"/>
      </w:numPr>
      <w:spacing w:before="60" w:after="60" w:line="270" w:lineRule="exact"/>
    </w:pPr>
    <w:rPr>
      <w:rFonts w:ascii="Arial" w:hAnsi="Arial" w:cs="Calibri"/>
      <w:color w:val="000000" w:themeColor="text1"/>
      <w:sz w:val="20"/>
    </w:rPr>
  </w:style>
  <w:style w:type="paragraph" w:customStyle="1" w:styleId="Bullettext2ndlevel">
    <w:name w:val="Bullet text 2nd level"/>
    <w:basedOn w:val="BulletBody"/>
    <w:qFormat/>
    <w:rsid w:val="00CF4ECD"/>
    <w:pPr>
      <w:ind w:left="547"/>
    </w:pPr>
  </w:style>
  <w:style w:type="paragraph" w:styleId="BalloonText">
    <w:name w:val="Balloon Text"/>
    <w:basedOn w:val="Normal"/>
    <w:link w:val="BalloonTextChar"/>
    <w:uiPriority w:val="99"/>
    <w:semiHidden/>
    <w:unhideWhenUsed/>
    <w:rsid w:val="0048184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81846"/>
    <w:rPr>
      <w:rFonts w:ascii="Times New Roman" w:hAnsi="Times New Roman" w:cs="Times New Roman"/>
      <w:sz w:val="18"/>
      <w:szCs w:val="18"/>
    </w:rPr>
  </w:style>
  <w:style w:type="paragraph" w:customStyle="1" w:styleId="RelatedGuide">
    <w:name w:val="Related Guide"/>
    <w:basedOn w:val="Normal"/>
    <w:qFormat/>
    <w:rsid w:val="00993DBF"/>
    <w:pPr>
      <w:jc w:val="right"/>
    </w:pPr>
    <w:rPr>
      <w:rFonts w:cs="Arial"/>
      <w:color w:val="FFFFFF" w:themeColor="background1"/>
      <w:sz w:val="16"/>
      <w:szCs w:val="16"/>
    </w:rPr>
  </w:style>
  <w:style w:type="paragraph" w:customStyle="1" w:styleId="SubheadAPPR">
    <w:name w:val="Subhead APPR"/>
    <w:basedOn w:val="MainTextBody"/>
    <w:qFormat/>
    <w:rsid w:val="00C059EF"/>
    <w:pPr>
      <w:spacing w:before="300" w:after="80"/>
    </w:pPr>
    <w:rPr>
      <w:b/>
      <w:bCs/>
      <w:sz w:val="22"/>
    </w:rPr>
  </w:style>
  <w:style w:type="paragraph" w:customStyle="1" w:styleId="BottomProcess">
    <w:name w:val="Bottom Process"/>
    <w:qFormat/>
    <w:rsid w:val="002B0DBD"/>
    <w:rPr>
      <w:rFonts w:ascii="Arial" w:hAnsi="Arial" w:cs="Arial"/>
      <w:b/>
      <w:bCs/>
      <w:caps/>
      <w:color w:val="3D8924"/>
      <w:spacing w:val="10"/>
      <w:sz w:val="14"/>
      <w:szCs w:val="14"/>
    </w:rPr>
  </w:style>
  <w:style w:type="paragraph" w:customStyle="1" w:styleId="spacebeforetable">
    <w:name w:val="space before table"/>
    <w:basedOn w:val="MainTextBody"/>
    <w:qFormat/>
    <w:rsid w:val="009801A4"/>
    <w:pPr>
      <w:spacing w:after="0" w:line="240" w:lineRule="auto"/>
    </w:pPr>
    <w:rPr>
      <w:sz w:val="12"/>
    </w:rPr>
  </w:style>
  <w:style w:type="paragraph" w:customStyle="1" w:styleId="TableBodyBold">
    <w:name w:val="Table Body Bold"/>
    <w:qFormat/>
    <w:rsid w:val="00D90142"/>
    <w:pPr>
      <w:spacing w:before="40" w:after="40" w:line="240" w:lineRule="exact"/>
    </w:pPr>
    <w:rPr>
      <w:rFonts w:ascii="Arial" w:hAnsi="Arial" w:cs="Calibri"/>
      <w:b/>
      <w:bCs/>
      <w:color w:val="000000" w:themeColor="text1"/>
      <w:sz w:val="18"/>
    </w:rPr>
  </w:style>
  <w:style w:type="paragraph" w:customStyle="1" w:styleId="MainTitleblue">
    <w:name w:val="Main Title (blue)"/>
    <w:qFormat/>
    <w:rsid w:val="003C46D6"/>
    <w:pPr>
      <w:spacing w:after="400" w:line="520" w:lineRule="exact"/>
    </w:pPr>
    <w:rPr>
      <w:rFonts w:ascii="Arial" w:eastAsiaTheme="majorEastAsia" w:hAnsi="Arial" w:cstheme="majorBidi"/>
      <w:b/>
      <w:color w:val="34407B"/>
      <w:sz w:val="44"/>
      <w:szCs w:val="32"/>
    </w:rPr>
  </w:style>
  <w:style w:type="paragraph" w:styleId="TOC5">
    <w:name w:val="toc 5"/>
    <w:basedOn w:val="Normal"/>
    <w:next w:val="Normal"/>
    <w:autoRedefine/>
    <w:uiPriority w:val="39"/>
    <w:unhideWhenUsed/>
    <w:rsid w:val="007120A7"/>
    <w:pPr>
      <w:ind w:left="720"/>
    </w:pPr>
    <w:rPr>
      <w:rFonts w:cstheme="minorHAnsi"/>
      <w:szCs w:val="20"/>
    </w:rPr>
  </w:style>
  <w:style w:type="paragraph" w:styleId="TOC6">
    <w:name w:val="toc 6"/>
    <w:basedOn w:val="Normal"/>
    <w:next w:val="Normal"/>
    <w:autoRedefine/>
    <w:uiPriority w:val="39"/>
    <w:unhideWhenUsed/>
    <w:rsid w:val="007120A7"/>
    <w:pPr>
      <w:ind w:left="960"/>
    </w:pPr>
    <w:rPr>
      <w:rFonts w:cstheme="minorHAnsi"/>
      <w:szCs w:val="20"/>
    </w:rPr>
  </w:style>
  <w:style w:type="paragraph" w:styleId="TOC7">
    <w:name w:val="toc 7"/>
    <w:basedOn w:val="Normal"/>
    <w:next w:val="Normal"/>
    <w:autoRedefine/>
    <w:uiPriority w:val="39"/>
    <w:unhideWhenUsed/>
    <w:rsid w:val="007120A7"/>
    <w:pPr>
      <w:ind w:left="1200"/>
    </w:pPr>
    <w:rPr>
      <w:rFonts w:cstheme="minorHAnsi"/>
      <w:szCs w:val="20"/>
    </w:rPr>
  </w:style>
  <w:style w:type="paragraph" w:styleId="TOC8">
    <w:name w:val="toc 8"/>
    <w:basedOn w:val="Normal"/>
    <w:next w:val="Normal"/>
    <w:autoRedefine/>
    <w:uiPriority w:val="39"/>
    <w:unhideWhenUsed/>
    <w:rsid w:val="007120A7"/>
    <w:pPr>
      <w:ind w:left="1440"/>
    </w:pPr>
    <w:rPr>
      <w:rFonts w:cstheme="minorHAnsi"/>
      <w:szCs w:val="20"/>
    </w:rPr>
  </w:style>
  <w:style w:type="paragraph" w:styleId="TOC9">
    <w:name w:val="toc 9"/>
    <w:basedOn w:val="Normal"/>
    <w:next w:val="Normal"/>
    <w:autoRedefine/>
    <w:uiPriority w:val="39"/>
    <w:unhideWhenUsed/>
    <w:rsid w:val="007120A7"/>
    <w:pPr>
      <w:ind w:left="1680"/>
    </w:pPr>
    <w:rPr>
      <w:rFonts w:cstheme="minorHAnsi"/>
      <w:szCs w:val="20"/>
    </w:rPr>
  </w:style>
  <w:style w:type="character" w:styleId="CommentReference">
    <w:name w:val="annotation reference"/>
    <w:basedOn w:val="DefaultParagraphFont"/>
    <w:uiPriority w:val="99"/>
    <w:semiHidden/>
    <w:unhideWhenUsed/>
    <w:rsid w:val="009516CA"/>
    <w:rPr>
      <w:sz w:val="16"/>
      <w:szCs w:val="16"/>
    </w:rPr>
  </w:style>
  <w:style w:type="paragraph" w:styleId="CommentText">
    <w:name w:val="annotation text"/>
    <w:basedOn w:val="Normal"/>
    <w:link w:val="CommentTextChar"/>
    <w:uiPriority w:val="99"/>
    <w:semiHidden/>
    <w:unhideWhenUsed/>
    <w:rsid w:val="009516CA"/>
    <w:rPr>
      <w:szCs w:val="20"/>
    </w:rPr>
  </w:style>
  <w:style w:type="character" w:customStyle="1" w:styleId="CommentTextChar">
    <w:name w:val="Comment Text Char"/>
    <w:basedOn w:val="DefaultParagraphFont"/>
    <w:link w:val="CommentText"/>
    <w:uiPriority w:val="99"/>
    <w:semiHidden/>
    <w:rsid w:val="009516CA"/>
    <w:rPr>
      <w:sz w:val="20"/>
      <w:szCs w:val="20"/>
    </w:rPr>
  </w:style>
  <w:style w:type="paragraph" w:styleId="CommentSubject">
    <w:name w:val="annotation subject"/>
    <w:basedOn w:val="CommentText"/>
    <w:next w:val="CommentText"/>
    <w:link w:val="CommentSubjectChar"/>
    <w:uiPriority w:val="99"/>
    <w:semiHidden/>
    <w:unhideWhenUsed/>
    <w:rsid w:val="009516CA"/>
    <w:rPr>
      <w:b/>
      <w:bCs/>
    </w:rPr>
  </w:style>
  <w:style w:type="character" w:customStyle="1" w:styleId="CommentSubjectChar">
    <w:name w:val="Comment Subject Char"/>
    <w:basedOn w:val="CommentTextChar"/>
    <w:link w:val="CommentSubject"/>
    <w:uiPriority w:val="99"/>
    <w:semiHidden/>
    <w:rsid w:val="009516CA"/>
    <w:rPr>
      <w:b/>
      <w:bCs/>
      <w:sz w:val="20"/>
      <w:szCs w:val="20"/>
    </w:rPr>
  </w:style>
  <w:style w:type="paragraph" w:customStyle="1" w:styleId="Default">
    <w:name w:val="Default"/>
    <w:rsid w:val="00E11650"/>
    <w:pPr>
      <w:autoSpaceDE w:val="0"/>
      <w:autoSpaceDN w:val="0"/>
      <w:adjustRightInd w:val="0"/>
      <w:spacing w:after="0" w:line="240" w:lineRule="auto"/>
    </w:pPr>
    <w:rPr>
      <w:rFonts w:ascii="Proxima Nova Rg" w:hAnsi="Proxima Nova Rg" w:cs="Proxima Nova Rg"/>
      <w:color w:val="000000"/>
      <w:sz w:val="24"/>
      <w:szCs w:val="24"/>
    </w:rPr>
  </w:style>
  <w:style w:type="paragraph" w:customStyle="1" w:styleId="TableHead">
    <w:name w:val="Table_Head"/>
    <w:basedOn w:val="Normal"/>
    <w:qFormat/>
    <w:rsid w:val="00512179"/>
    <w:pPr>
      <w:pBdr>
        <w:top w:val="nil"/>
        <w:left w:val="nil"/>
        <w:bottom w:val="nil"/>
        <w:right w:val="nil"/>
        <w:between w:val="nil"/>
      </w:pBdr>
      <w:spacing w:before="60" w:after="60" w:line="271" w:lineRule="auto"/>
    </w:pPr>
    <w:rPr>
      <w:rFonts w:eastAsia="Arial" w:cs="Arial"/>
      <w:b/>
      <w:color w:val="FFFFFF" w:themeColor="background1"/>
      <w:szCs w:val="20"/>
    </w:rPr>
  </w:style>
  <w:style w:type="paragraph" w:customStyle="1" w:styleId="MainTextSpace">
    <w:name w:val="Main Text Space"/>
    <w:basedOn w:val="MainTextBody"/>
    <w:qFormat/>
    <w:rsid w:val="003934C3"/>
    <w:pPr>
      <w:spacing w:after="240"/>
    </w:pPr>
    <w:rPr>
      <w:rFonts w:eastAsia="Arial"/>
    </w:rPr>
  </w:style>
  <w:style w:type="numbering" w:customStyle="1" w:styleId="CurrentList1">
    <w:name w:val="Current List1"/>
    <w:uiPriority w:val="99"/>
    <w:rsid w:val="00512179"/>
    <w:pPr>
      <w:numPr>
        <w:numId w:val="43"/>
      </w:numPr>
    </w:pPr>
  </w:style>
  <w:style w:type="character" w:styleId="FollowedHyperlink">
    <w:name w:val="FollowedHyperlink"/>
    <w:basedOn w:val="DefaultParagraphFont"/>
    <w:uiPriority w:val="99"/>
    <w:semiHidden/>
    <w:unhideWhenUsed/>
    <w:rsid w:val="002956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21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vancingpretrial.org/" TargetMode="External"/><Relationship Id="rId13" Type="http://schemas.openxmlformats.org/officeDocument/2006/relationships/hyperlink" Target="http://advancingpretrial.org/term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advancingpretrial.org/term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advancingpretrial.org/appr/help/"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nlets.org/" TargetMode="External"/><Relationship Id="rId14" Type="http://schemas.openxmlformats.org/officeDocument/2006/relationships/image" Target="media/image2.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Placeholder1</b:Tag>
    <b:SourceType>Report</b:SourceType>
    <b:Guid>{902D8767-7BA8-4A5F-91D2-CE8B78B61924}</b:Guid>
    <b:RefOrder>1</b:RefOrder>
  </b:Source>
</b:Sources>
</file>

<file path=customXml/itemProps1.xml><?xml version="1.0" encoding="utf-8"?>
<ds:datastoreItem xmlns:ds="http://schemas.openxmlformats.org/officeDocument/2006/customXml" ds:itemID="{894B9815-BD18-5044-8D57-294FDF435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4920</Words>
  <Characters>28044</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Wiemeyer</dc:creator>
  <cp:keywords/>
  <dc:description/>
  <cp:lastModifiedBy>Holly Ziemer</cp:lastModifiedBy>
  <cp:revision>2</cp:revision>
  <cp:lastPrinted>2020-03-08T23:08:00Z</cp:lastPrinted>
  <dcterms:created xsi:type="dcterms:W3CDTF">2022-04-06T16:12:00Z</dcterms:created>
  <dcterms:modified xsi:type="dcterms:W3CDTF">2022-04-06T16:12:00Z</dcterms:modified>
</cp:coreProperties>
</file>