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6128" w14:textId="259222B6" w:rsidR="00204AEF" w:rsidRDefault="00620D99" w:rsidP="007D515C">
      <w:pPr>
        <w:pStyle w:val="Heading2"/>
        <w:jc w:val="center"/>
      </w:pPr>
      <w:r w:rsidRPr="00620D99">
        <w:t xml:space="preserve">How to Navigate </w:t>
      </w:r>
      <w:r w:rsidR="000C4C76">
        <w:t>B</w:t>
      </w:r>
      <w:r w:rsidRPr="00620D99">
        <w:t>etween Bundles</w:t>
      </w:r>
    </w:p>
    <w:p w14:paraId="331546C7" w14:textId="45C86893" w:rsidR="009875F6" w:rsidRDefault="00814DAF" w:rsidP="009875F6">
      <w:r>
        <w:t xml:space="preserve">A user </w:t>
      </w:r>
      <w:r w:rsidR="000A339D">
        <w:t>can</w:t>
      </w:r>
      <w:r w:rsidR="004C3E13">
        <w:t xml:space="preserve"> navi</w:t>
      </w:r>
      <w:r w:rsidR="00A37355">
        <w:t xml:space="preserve">gate </w:t>
      </w:r>
      <w:r w:rsidR="0072102E">
        <w:t xml:space="preserve">between </w:t>
      </w:r>
      <w:r w:rsidR="00574690">
        <w:t>available</w:t>
      </w:r>
      <w:r w:rsidR="004B2B9B">
        <w:t xml:space="preserve"> </w:t>
      </w:r>
      <w:r w:rsidR="00A37355">
        <w:t xml:space="preserve">bundles </w:t>
      </w:r>
      <w:r w:rsidR="004B2B9B">
        <w:t>while</w:t>
      </w:r>
      <w:r w:rsidR="00A37355">
        <w:t xml:space="preserve"> </w:t>
      </w:r>
      <w:r w:rsidR="00D33F24">
        <w:t xml:space="preserve">uploading, </w:t>
      </w:r>
      <w:r w:rsidR="00CE1386">
        <w:t>monitoring</w:t>
      </w:r>
      <w:r w:rsidR="00AA4B13">
        <w:t xml:space="preserve"> the </w:t>
      </w:r>
      <w:r w:rsidR="00574690">
        <w:t>progress,</w:t>
      </w:r>
      <w:r w:rsidR="00AA4B13">
        <w:t xml:space="preserve"> or reviewing uploaded exhibit</w:t>
      </w:r>
      <w:r w:rsidR="00AA3EE4">
        <w:t>s</w:t>
      </w:r>
      <w:r w:rsidR="00AA4B13">
        <w:t xml:space="preserve">. </w:t>
      </w:r>
      <w:r w:rsidR="009875F6">
        <w:t xml:space="preserve">Depending on the courts approach, </w:t>
      </w:r>
      <w:r w:rsidR="00A70187">
        <w:t>the</w:t>
      </w:r>
      <w:r w:rsidR="009875F6">
        <w:t xml:space="preserve"> selection of bundles may vary and can include specific hearing</w:t>
      </w:r>
      <w:r w:rsidR="00E650C8">
        <w:t xml:space="preserve">, </w:t>
      </w:r>
      <w:r w:rsidR="009875F6">
        <w:t>party</w:t>
      </w:r>
      <w:r w:rsidR="00E650C8">
        <w:t>, and/or shared</w:t>
      </w:r>
      <w:r w:rsidR="009875F6">
        <w:t xml:space="preserve"> bundles</w:t>
      </w:r>
      <w:r w:rsidR="00E650C8">
        <w:t xml:space="preserve"> (view only access to all exhibits uploaded by all parties)</w:t>
      </w:r>
      <w:r w:rsidR="009554D6">
        <w:t xml:space="preserve">. </w:t>
      </w:r>
      <w:r w:rsidR="009D27CE">
        <w:t>Available bundles may also include a</w:t>
      </w:r>
      <w:r w:rsidR="009554D6">
        <w:t xml:space="preserve">uto </w:t>
      </w:r>
      <w:r w:rsidR="009875F6">
        <w:t>generated bundles that are created when an exhibit is stamped</w:t>
      </w:r>
      <w:r w:rsidR="009554D6">
        <w:t xml:space="preserve"> and </w:t>
      </w:r>
      <w:r w:rsidR="00A70187">
        <w:t>will be titled</w:t>
      </w:r>
      <w:r w:rsidR="009875F6">
        <w:t xml:space="preserve"> as Admitted, Admitted for Appeals Purposes, Offered but Denied, or Shown to Jury </w:t>
      </w:r>
    </w:p>
    <w:p w14:paraId="5C426346" w14:textId="065C202C" w:rsidR="009875F6" w:rsidRDefault="00C53113" w:rsidP="000C4C76">
      <w:r>
        <w:t xml:space="preserve">While accessing a specific case, a user </w:t>
      </w:r>
      <w:r w:rsidR="009875F6">
        <w:t xml:space="preserve">may </w:t>
      </w:r>
      <w:r>
        <w:t>switch betw</w:t>
      </w:r>
      <w:r w:rsidR="009875F6">
        <w:t xml:space="preserve">een </w:t>
      </w:r>
      <w:r>
        <w:t>available bundles</w:t>
      </w:r>
      <w:r w:rsidR="009875F6">
        <w:t xml:space="preserve"> on the following screens and </w:t>
      </w:r>
      <w:r w:rsidR="009875F6" w:rsidRPr="00356694">
        <w:rPr>
          <w:b/>
          <w:bCs/>
          <w:color w:val="FF0000"/>
        </w:rPr>
        <w:t>by</w:t>
      </w:r>
      <w:r w:rsidRPr="00356694">
        <w:rPr>
          <w:b/>
          <w:bCs/>
          <w:color w:val="FF0000"/>
        </w:rPr>
        <w:t xml:space="preserve"> default, the application will display the</w:t>
      </w:r>
      <w:r w:rsidR="009875F6" w:rsidRPr="00356694">
        <w:rPr>
          <w:b/>
          <w:bCs/>
          <w:color w:val="FF0000"/>
        </w:rPr>
        <w:t xml:space="preserve"> last </w:t>
      </w:r>
      <w:r w:rsidRPr="00356694">
        <w:rPr>
          <w:b/>
          <w:bCs/>
          <w:color w:val="FF0000"/>
        </w:rPr>
        <w:t>bundle the user interacted with</w:t>
      </w:r>
      <w:r w:rsidR="009875F6" w:rsidRPr="00356694">
        <w:rPr>
          <w:b/>
          <w:bCs/>
          <w:color w:val="FF0000"/>
        </w:rPr>
        <w:t>.</w:t>
      </w:r>
      <w:r w:rsidR="009875F6" w:rsidRPr="00356694">
        <w:rPr>
          <w:color w:val="FF0000"/>
        </w:rPr>
        <w:t xml:space="preserve"> </w:t>
      </w:r>
    </w:p>
    <w:p w14:paraId="2DD52DA6" w14:textId="269A18E3" w:rsidR="00A70187" w:rsidRDefault="00E650C8" w:rsidP="00356694">
      <w:pPr>
        <w:pStyle w:val="ListParagraph"/>
        <w:numPr>
          <w:ilvl w:val="0"/>
          <w:numId w:val="4"/>
        </w:numPr>
        <w:spacing w:before="240"/>
        <w:contextualSpacing w:val="0"/>
      </w:pPr>
      <w:r w:rsidRPr="00356694">
        <w:rPr>
          <w:b/>
          <w:bCs/>
        </w:rPr>
        <w:t xml:space="preserve">Update Case &gt; </w:t>
      </w:r>
      <w:r w:rsidR="00620D99" w:rsidRPr="00356694">
        <w:rPr>
          <w:b/>
          <w:bCs/>
          <w:color w:val="FF0000"/>
        </w:rPr>
        <w:t>Sections</w:t>
      </w:r>
      <w:r w:rsidR="00620D99" w:rsidRPr="00356694">
        <w:rPr>
          <w:color w:val="FF0000"/>
        </w:rPr>
        <w:t xml:space="preserve"> </w:t>
      </w:r>
      <w:r w:rsidR="00620D99" w:rsidRPr="00356694">
        <w:rPr>
          <w:b/>
          <w:bCs/>
          <w:color w:val="FF0000"/>
        </w:rPr>
        <w:t>Tab</w:t>
      </w:r>
      <w:r w:rsidRPr="00356694">
        <w:rPr>
          <w:b/>
          <w:bCs/>
        </w:rPr>
        <w:t xml:space="preserve">: </w:t>
      </w:r>
      <w:r w:rsidR="009554D6" w:rsidRPr="00356694">
        <w:rPr>
          <w:b/>
          <w:bCs/>
        </w:rPr>
        <w:t>Primarily accessed to</w:t>
      </w:r>
      <w:r w:rsidR="00A70187" w:rsidRPr="00356694">
        <w:rPr>
          <w:b/>
          <w:bCs/>
        </w:rPr>
        <w:t xml:space="preserve"> upload or manage</w:t>
      </w:r>
      <w:r w:rsidR="009554D6" w:rsidRPr="00356694">
        <w:rPr>
          <w:b/>
          <w:bCs/>
        </w:rPr>
        <w:t xml:space="preserve"> </w:t>
      </w:r>
      <w:proofErr w:type="gramStart"/>
      <w:r w:rsidR="009554D6" w:rsidRPr="00356694">
        <w:rPr>
          <w:b/>
          <w:bCs/>
        </w:rPr>
        <w:t>exhibits</w:t>
      </w:r>
      <w:proofErr w:type="gramEnd"/>
      <w:r w:rsidR="00C53113">
        <w:t xml:space="preserve"> </w:t>
      </w:r>
    </w:p>
    <w:p w14:paraId="7C6F883B" w14:textId="270124B5" w:rsidR="00BF35A2" w:rsidRDefault="00FF1ECD" w:rsidP="00E41B92">
      <w:pPr>
        <w:spacing w:after="0"/>
        <w:ind w:left="720"/>
      </w:pPr>
      <w:r w:rsidRPr="00FF1ECD">
        <w:rPr>
          <w:noProof/>
        </w:rPr>
        <w:drawing>
          <wp:inline distT="0" distB="0" distL="0" distR="0" wp14:anchorId="67C54E08" wp14:editId="58E8D74E">
            <wp:extent cx="4394200" cy="3665146"/>
            <wp:effectExtent l="19050" t="19050" r="2540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1494" cy="368791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E73312" w14:textId="7D3FFE04" w:rsidR="00263597" w:rsidRDefault="00263597" w:rsidP="00541D68">
      <w:pPr>
        <w:spacing w:after="0"/>
        <w:ind w:left="720"/>
        <w:rPr>
          <w:b/>
          <w:bCs/>
          <w:sz w:val="20"/>
          <w:szCs w:val="20"/>
        </w:rPr>
      </w:pPr>
    </w:p>
    <w:p w14:paraId="268D9353" w14:textId="5296FC36" w:rsidR="00620D99" w:rsidRPr="00356694" w:rsidRDefault="00E650C8" w:rsidP="00356694">
      <w:pPr>
        <w:pStyle w:val="ListParagraph"/>
        <w:numPr>
          <w:ilvl w:val="0"/>
          <w:numId w:val="4"/>
        </w:numPr>
        <w:contextualSpacing w:val="0"/>
        <w:rPr>
          <w:b/>
          <w:bCs/>
        </w:rPr>
      </w:pPr>
      <w:r w:rsidRPr="00356694">
        <w:rPr>
          <w:b/>
          <w:bCs/>
        </w:rPr>
        <w:t xml:space="preserve">Update Case &gt; </w:t>
      </w:r>
      <w:r w:rsidR="00620D99" w:rsidRPr="00356694">
        <w:rPr>
          <w:b/>
          <w:bCs/>
          <w:color w:val="FF0000"/>
        </w:rPr>
        <w:t>Index</w:t>
      </w:r>
      <w:r w:rsidR="00620D99" w:rsidRPr="00356694">
        <w:rPr>
          <w:color w:val="FF0000"/>
        </w:rPr>
        <w:t xml:space="preserve"> </w:t>
      </w:r>
      <w:r w:rsidR="00620D99" w:rsidRPr="00356694">
        <w:rPr>
          <w:b/>
          <w:bCs/>
          <w:color w:val="FF0000"/>
        </w:rPr>
        <w:t>Tab</w:t>
      </w:r>
      <w:r w:rsidR="00A70187" w:rsidRPr="00356694">
        <w:rPr>
          <w:b/>
          <w:bCs/>
          <w:color w:val="FF0000"/>
        </w:rPr>
        <w:t xml:space="preserve"> </w:t>
      </w:r>
      <w:r w:rsidRPr="00356694">
        <w:rPr>
          <w:b/>
          <w:bCs/>
        </w:rPr>
        <w:t xml:space="preserve">: </w:t>
      </w:r>
      <w:r w:rsidR="009554D6" w:rsidRPr="00356694">
        <w:rPr>
          <w:b/>
          <w:bCs/>
        </w:rPr>
        <w:t>Primarily accessed</w:t>
      </w:r>
      <w:r w:rsidR="00A70187" w:rsidRPr="00356694">
        <w:rPr>
          <w:b/>
          <w:bCs/>
        </w:rPr>
        <w:t xml:space="preserve"> to</w:t>
      </w:r>
      <w:r w:rsidRPr="00356694">
        <w:rPr>
          <w:b/>
          <w:bCs/>
        </w:rPr>
        <w:t xml:space="preserve"> view </w:t>
      </w:r>
      <w:r w:rsidR="009554D6" w:rsidRPr="00356694">
        <w:rPr>
          <w:b/>
          <w:bCs/>
        </w:rPr>
        <w:t xml:space="preserve">the </w:t>
      </w:r>
      <w:r w:rsidRPr="00356694">
        <w:rPr>
          <w:b/>
          <w:bCs/>
        </w:rPr>
        <w:t>status of</w:t>
      </w:r>
      <w:r w:rsidR="009554D6" w:rsidRPr="00356694">
        <w:rPr>
          <w:b/>
          <w:bCs/>
        </w:rPr>
        <w:t xml:space="preserve"> exhibits that have been uploaded or are </w:t>
      </w:r>
      <w:proofErr w:type="gramStart"/>
      <w:r w:rsidR="009554D6" w:rsidRPr="00356694">
        <w:rPr>
          <w:b/>
          <w:bCs/>
        </w:rPr>
        <w:t>processing</w:t>
      </w:r>
      <w:proofErr w:type="gramEnd"/>
    </w:p>
    <w:p w14:paraId="3877C0D5" w14:textId="31B5C0A4" w:rsidR="009554D6" w:rsidRDefault="00417E5A" w:rsidP="006639E3">
      <w:pPr>
        <w:ind w:firstLine="720"/>
      </w:pPr>
      <w:r w:rsidRPr="00417E5A">
        <w:rPr>
          <w:noProof/>
        </w:rPr>
        <w:drawing>
          <wp:inline distT="0" distB="0" distL="0" distR="0" wp14:anchorId="76D9867E" wp14:editId="1DAADA5F">
            <wp:extent cx="3187163" cy="1744436"/>
            <wp:effectExtent l="19050" t="19050" r="13335" b="273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4894" cy="175414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EEE2EB" w14:textId="5F2C35D7" w:rsidR="00620D99" w:rsidRPr="00356694" w:rsidRDefault="00E650C8" w:rsidP="00356694">
      <w:pPr>
        <w:pStyle w:val="ListParagraph"/>
        <w:numPr>
          <w:ilvl w:val="0"/>
          <w:numId w:val="4"/>
        </w:numPr>
        <w:rPr>
          <w:b/>
          <w:bCs/>
        </w:rPr>
      </w:pPr>
      <w:r w:rsidRPr="00356694">
        <w:rPr>
          <w:b/>
          <w:bCs/>
        </w:rPr>
        <w:lastRenderedPageBreak/>
        <w:t xml:space="preserve">Review Evidence &gt; </w:t>
      </w:r>
      <w:r w:rsidR="00620D99" w:rsidRPr="00356694">
        <w:rPr>
          <w:b/>
          <w:bCs/>
          <w:color w:val="FF0000"/>
        </w:rPr>
        <w:t>Review Tab</w:t>
      </w:r>
      <w:r w:rsidRPr="00356694">
        <w:rPr>
          <w:b/>
          <w:bCs/>
        </w:rPr>
        <w:t xml:space="preserve">: </w:t>
      </w:r>
      <w:r w:rsidR="009554D6" w:rsidRPr="00356694">
        <w:rPr>
          <w:b/>
          <w:bCs/>
        </w:rPr>
        <w:t>Primarily accessed in the courtroom</w:t>
      </w:r>
      <w:r w:rsidRPr="00356694">
        <w:rPr>
          <w:b/>
          <w:bCs/>
        </w:rPr>
        <w:t xml:space="preserve"> to view</w:t>
      </w:r>
      <w:r w:rsidR="009554D6" w:rsidRPr="00356694">
        <w:rPr>
          <w:b/>
          <w:bCs/>
        </w:rPr>
        <w:t xml:space="preserve">, interact, and/or display uploaded </w:t>
      </w:r>
      <w:proofErr w:type="gramStart"/>
      <w:r w:rsidR="009554D6" w:rsidRPr="00356694">
        <w:rPr>
          <w:b/>
          <w:bCs/>
        </w:rPr>
        <w:t>exhibits</w:t>
      </w:r>
      <w:proofErr w:type="gramEnd"/>
    </w:p>
    <w:p w14:paraId="077AA1F2" w14:textId="24AC2E2B" w:rsidR="00265E4E" w:rsidRDefault="006639E3" w:rsidP="001A6224">
      <w:pPr>
        <w:ind w:firstLine="720"/>
      </w:pPr>
      <w:r>
        <w:tab/>
      </w:r>
      <w:r w:rsidR="009B6A3D">
        <w:t xml:space="preserve"> </w:t>
      </w:r>
      <w:r w:rsidR="00E34D5F" w:rsidRPr="00E34D5F">
        <w:rPr>
          <w:noProof/>
        </w:rPr>
        <w:drawing>
          <wp:inline distT="0" distB="0" distL="0" distR="0" wp14:anchorId="1039646E" wp14:editId="6E805271">
            <wp:extent cx="4337050" cy="2218800"/>
            <wp:effectExtent l="19050" t="19050" r="2540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5403" cy="222307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843FE4" w14:textId="0AA983E5" w:rsidR="00620D99" w:rsidRPr="00620D99" w:rsidRDefault="00265E4E" w:rsidP="001A6224">
      <w:pPr>
        <w:ind w:left="720"/>
      </w:pPr>
      <w:r w:rsidRPr="001A6224">
        <w:rPr>
          <w:b/>
          <w:bCs/>
          <w:sz w:val="20"/>
          <w:szCs w:val="20"/>
        </w:rPr>
        <w:t>Please Note:</w:t>
      </w:r>
      <w:r>
        <w:rPr>
          <w:sz w:val="20"/>
          <w:szCs w:val="20"/>
        </w:rPr>
        <w:t xml:space="preserve"> </w:t>
      </w:r>
      <w:r w:rsidRPr="001A6224">
        <w:rPr>
          <w:i/>
          <w:iCs/>
          <w:sz w:val="20"/>
          <w:szCs w:val="20"/>
        </w:rPr>
        <w:t xml:space="preserve">Each court may require </w:t>
      </w:r>
      <w:r w:rsidR="002E116D" w:rsidRPr="001A6224">
        <w:rPr>
          <w:i/>
          <w:iCs/>
          <w:sz w:val="20"/>
          <w:szCs w:val="20"/>
        </w:rPr>
        <w:t>parties to access a</w:t>
      </w:r>
      <w:r w:rsidR="002E116D">
        <w:rPr>
          <w:i/>
          <w:iCs/>
          <w:sz w:val="20"/>
          <w:szCs w:val="20"/>
        </w:rPr>
        <w:t xml:space="preserve"> </w:t>
      </w:r>
      <w:r w:rsidR="00A6459B">
        <w:rPr>
          <w:i/>
          <w:iCs/>
          <w:sz w:val="20"/>
          <w:szCs w:val="20"/>
        </w:rPr>
        <w:t xml:space="preserve">specific bundle during courtroom </w:t>
      </w:r>
      <w:r w:rsidR="003E2041">
        <w:rPr>
          <w:i/>
          <w:iCs/>
          <w:sz w:val="20"/>
          <w:szCs w:val="20"/>
        </w:rPr>
        <w:t xml:space="preserve">proceedings, such as the </w:t>
      </w:r>
      <w:r w:rsidR="006B0CEB">
        <w:rPr>
          <w:i/>
          <w:iCs/>
          <w:sz w:val="20"/>
          <w:szCs w:val="20"/>
        </w:rPr>
        <w:t>s</w:t>
      </w:r>
      <w:r w:rsidR="003E2041">
        <w:rPr>
          <w:i/>
          <w:iCs/>
          <w:sz w:val="20"/>
          <w:szCs w:val="20"/>
        </w:rPr>
        <w:t xml:space="preserve">hared </w:t>
      </w:r>
      <w:r w:rsidR="006B0CEB">
        <w:rPr>
          <w:i/>
          <w:iCs/>
          <w:sz w:val="20"/>
          <w:szCs w:val="20"/>
        </w:rPr>
        <w:t>b</w:t>
      </w:r>
      <w:r w:rsidR="003E2041">
        <w:rPr>
          <w:i/>
          <w:iCs/>
          <w:sz w:val="20"/>
          <w:szCs w:val="20"/>
        </w:rPr>
        <w:t xml:space="preserve">undle or specific </w:t>
      </w:r>
      <w:r w:rsidR="006B0CEB">
        <w:rPr>
          <w:i/>
          <w:iCs/>
          <w:sz w:val="20"/>
          <w:szCs w:val="20"/>
        </w:rPr>
        <w:t>hearing bundle.</w:t>
      </w:r>
      <w:r w:rsidR="002E116D">
        <w:rPr>
          <w:sz w:val="20"/>
          <w:szCs w:val="20"/>
        </w:rPr>
        <w:t xml:space="preserve"> </w:t>
      </w:r>
    </w:p>
    <w:sectPr w:rsidR="00620D99" w:rsidRPr="00620D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9696" w14:textId="77777777" w:rsidR="00B426F4" w:rsidRDefault="00B426F4" w:rsidP="006E6EF1">
      <w:pPr>
        <w:spacing w:after="0" w:line="240" w:lineRule="auto"/>
      </w:pPr>
      <w:r>
        <w:separator/>
      </w:r>
    </w:p>
  </w:endnote>
  <w:endnote w:type="continuationSeparator" w:id="0">
    <w:p w14:paraId="6D104D9A" w14:textId="77777777" w:rsidR="00B426F4" w:rsidRDefault="00B426F4" w:rsidP="006E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2386" w14:textId="77777777" w:rsidR="00C00E20" w:rsidRDefault="00C00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3078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167DF8" w14:textId="01A45C53" w:rsidR="00D96261" w:rsidRDefault="00D96261" w:rsidP="00D962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58A3" w14:textId="77777777" w:rsidR="00C00E20" w:rsidRDefault="00C00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2D1B" w14:textId="77777777" w:rsidR="00B426F4" w:rsidRDefault="00B426F4" w:rsidP="006E6EF1">
      <w:pPr>
        <w:spacing w:after="0" w:line="240" w:lineRule="auto"/>
      </w:pPr>
      <w:r>
        <w:separator/>
      </w:r>
    </w:p>
  </w:footnote>
  <w:footnote w:type="continuationSeparator" w:id="0">
    <w:p w14:paraId="263A34CA" w14:textId="77777777" w:rsidR="00B426F4" w:rsidRDefault="00B426F4" w:rsidP="006E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9652" w14:textId="77777777" w:rsidR="00C00E20" w:rsidRDefault="00C00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AC1D" w14:textId="2B2E10E2" w:rsidR="006E6EF1" w:rsidRDefault="006E6EF1" w:rsidP="006E6EF1">
    <w:pPr>
      <w:pStyle w:val="Header"/>
      <w:jc w:val="right"/>
    </w:pPr>
    <w:r>
      <w:t>081</w:t>
    </w:r>
    <w:r w:rsidR="00E34D5F">
      <w:t>6</w:t>
    </w:r>
    <w:r>
      <w:t>24_V1.0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5DFE" w14:textId="77777777" w:rsidR="00C00E20" w:rsidRDefault="00C00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D503B"/>
    <w:multiLevelType w:val="hybridMultilevel"/>
    <w:tmpl w:val="81C61D72"/>
    <w:lvl w:ilvl="0" w:tplc="A6966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17E86"/>
    <w:multiLevelType w:val="hybridMultilevel"/>
    <w:tmpl w:val="5B32E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18CA"/>
    <w:multiLevelType w:val="hybridMultilevel"/>
    <w:tmpl w:val="B466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5283E"/>
    <w:multiLevelType w:val="hybridMultilevel"/>
    <w:tmpl w:val="C1DC94EC"/>
    <w:lvl w:ilvl="0" w:tplc="6E009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73180">
    <w:abstractNumId w:val="2"/>
  </w:num>
  <w:num w:numId="2" w16cid:durableId="1261639475">
    <w:abstractNumId w:val="3"/>
  </w:num>
  <w:num w:numId="3" w16cid:durableId="594628483">
    <w:abstractNumId w:val="1"/>
  </w:num>
  <w:num w:numId="4" w16cid:durableId="135005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99"/>
    <w:rsid w:val="000A339D"/>
    <w:rsid w:val="000C4C76"/>
    <w:rsid w:val="000C4FD5"/>
    <w:rsid w:val="000F0FC9"/>
    <w:rsid w:val="00152A7A"/>
    <w:rsid w:val="00197077"/>
    <w:rsid w:val="001A6224"/>
    <w:rsid w:val="00204AEF"/>
    <w:rsid w:val="0022317C"/>
    <w:rsid w:val="002500DC"/>
    <w:rsid w:val="00255519"/>
    <w:rsid w:val="002571CF"/>
    <w:rsid w:val="00263597"/>
    <w:rsid w:val="00265E4E"/>
    <w:rsid w:val="0028550F"/>
    <w:rsid w:val="002E116D"/>
    <w:rsid w:val="003037A1"/>
    <w:rsid w:val="00356694"/>
    <w:rsid w:val="003658F9"/>
    <w:rsid w:val="00375A42"/>
    <w:rsid w:val="003A364B"/>
    <w:rsid w:val="003A595E"/>
    <w:rsid w:val="003D34E1"/>
    <w:rsid w:val="003E2041"/>
    <w:rsid w:val="003E2895"/>
    <w:rsid w:val="0041286E"/>
    <w:rsid w:val="00417E5A"/>
    <w:rsid w:val="00487967"/>
    <w:rsid w:val="00492608"/>
    <w:rsid w:val="004B2B9B"/>
    <w:rsid w:val="004C3E13"/>
    <w:rsid w:val="004F0016"/>
    <w:rsid w:val="004F6BA4"/>
    <w:rsid w:val="00530000"/>
    <w:rsid w:val="00541D68"/>
    <w:rsid w:val="00560407"/>
    <w:rsid w:val="00561108"/>
    <w:rsid w:val="00574690"/>
    <w:rsid w:val="005A78C9"/>
    <w:rsid w:val="005F617E"/>
    <w:rsid w:val="00605001"/>
    <w:rsid w:val="00620D99"/>
    <w:rsid w:val="006217D6"/>
    <w:rsid w:val="006359D8"/>
    <w:rsid w:val="00642298"/>
    <w:rsid w:val="00646BDF"/>
    <w:rsid w:val="006639E3"/>
    <w:rsid w:val="006B0CEB"/>
    <w:rsid w:val="006E6EF1"/>
    <w:rsid w:val="006F47CA"/>
    <w:rsid w:val="0072102E"/>
    <w:rsid w:val="007A624E"/>
    <w:rsid w:val="007C1CA6"/>
    <w:rsid w:val="007D515C"/>
    <w:rsid w:val="007E27C5"/>
    <w:rsid w:val="007E7B72"/>
    <w:rsid w:val="007F1703"/>
    <w:rsid w:val="00803B4C"/>
    <w:rsid w:val="00814DAF"/>
    <w:rsid w:val="00821B6E"/>
    <w:rsid w:val="0089764C"/>
    <w:rsid w:val="008B10C9"/>
    <w:rsid w:val="008D37FC"/>
    <w:rsid w:val="008E075A"/>
    <w:rsid w:val="008E5E9D"/>
    <w:rsid w:val="00906033"/>
    <w:rsid w:val="00932D90"/>
    <w:rsid w:val="009554D6"/>
    <w:rsid w:val="009875F6"/>
    <w:rsid w:val="009A047B"/>
    <w:rsid w:val="009A080F"/>
    <w:rsid w:val="009A4213"/>
    <w:rsid w:val="009B27D8"/>
    <w:rsid w:val="009B6A3D"/>
    <w:rsid w:val="009C4A52"/>
    <w:rsid w:val="009D27CE"/>
    <w:rsid w:val="00A153E5"/>
    <w:rsid w:val="00A37355"/>
    <w:rsid w:val="00A60CBB"/>
    <w:rsid w:val="00A6459B"/>
    <w:rsid w:val="00A70187"/>
    <w:rsid w:val="00AA3216"/>
    <w:rsid w:val="00AA3EE4"/>
    <w:rsid w:val="00AA4B13"/>
    <w:rsid w:val="00AD2575"/>
    <w:rsid w:val="00AE509A"/>
    <w:rsid w:val="00AF307D"/>
    <w:rsid w:val="00AF65AE"/>
    <w:rsid w:val="00AF7C98"/>
    <w:rsid w:val="00B01BAE"/>
    <w:rsid w:val="00B426F4"/>
    <w:rsid w:val="00B95052"/>
    <w:rsid w:val="00BB596C"/>
    <w:rsid w:val="00BD2318"/>
    <w:rsid w:val="00BE066A"/>
    <w:rsid w:val="00BE4836"/>
    <w:rsid w:val="00BF35A2"/>
    <w:rsid w:val="00C00E20"/>
    <w:rsid w:val="00C169D1"/>
    <w:rsid w:val="00C30698"/>
    <w:rsid w:val="00C441DF"/>
    <w:rsid w:val="00C53113"/>
    <w:rsid w:val="00C90012"/>
    <w:rsid w:val="00CA435D"/>
    <w:rsid w:val="00CA6BCE"/>
    <w:rsid w:val="00CB3080"/>
    <w:rsid w:val="00CB5E69"/>
    <w:rsid w:val="00CD20DE"/>
    <w:rsid w:val="00CE1386"/>
    <w:rsid w:val="00D22B28"/>
    <w:rsid w:val="00D23C82"/>
    <w:rsid w:val="00D33F24"/>
    <w:rsid w:val="00D41B76"/>
    <w:rsid w:val="00D44410"/>
    <w:rsid w:val="00D851E3"/>
    <w:rsid w:val="00D96261"/>
    <w:rsid w:val="00DA0336"/>
    <w:rsid w:val="00DE7311"/>
    <w:rsid w:val="00E03561"/>
    <w:rsid w:val="00E34D5F"/>
    <w:rsid w:val="00E41B92"/>
    <w:rsid w:val="00E44E2B"/>
    <w:rsid w:val="00E650C8"/>
    <w:rsid w:val="00E8630A"/>
    <w:rsid w:val="00EA7A47"/>
    <w:rsid w:val="00ED43E2"/>
    <w:rsid w:val="00F15ADF"/>
    <w:rsid w:val="00F51654"/>
    <w:rsid w:val="00F67383"/>
    <w:rsid w:val="00F942F8"/>
    <w:rsid w:val="00FB4519"/>
    <w:rsid w:val="00FC6B6D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F18916"/>
  <w15:chartTrackingRefBased/>
  <w15:docId w15:val="{80757901-2D53-4116-8289-ACFACA7C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1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7C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51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E6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EF1"/>
  </w:style>
  <w:style w:type="paragraph" w:styleId="Footer">
    <w:name w:val="footer"/>
    <w:basedOn w:val="Normal"/>
    <w:link w:val="FooterChar"/>
    <w:uiPriority w:val="99"/>
    <w:unhideWhenUsed/>
    <w:rsid w:val="006E6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F1"/>
  </w:style>
  <w:style w:type="paragraph" w:styleId="Revision">
    <w:name w:val="Revision"/>
    <w:hidden/>
    <w:uiPriority w:val="99"/>
    <w:semiHidden/>
    <w:rsid w:val="00C5311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0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A.O.C. State Supreme Courts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Tascoe, Kyrene "Nikki"</dc:creator>
  <cp:keywords/>
  <dc:description/>
  <cp:lastModifiedBy>Sanchez, Christine</cp:lastModifiedBy>
  <cp:revision>3</cp:revision>
  <cp:lastPrinted>2024-08-14T16:35:00Z</cp:lastPrinted>
  <dcterms:created xsi:type="dcterms:W3CDTF">2024-08-16T17:24:00Z</dcterms:created>
  <dcterms:modified xsi:type="dcterms:W3CDTF">2024-08-16T18:14:00Z</dcterms:modified>
</cp:coreProperties>
</file>