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11"/>
        <w:tblW w:w="9535" w:type="dxa"/>
        <w:tblLook w:val="04A0" w:firstRow="1" w:lastRow="0" w:firstColumn="1" w:lastColumn="0" w:noHBand="0" w:noVBand="1"/>
      </w:tblPr>
      <w:tblGrid>
        <w:gridCol w:w="2335"/>
        <w:gridCol w:w="7200"/>
      </w:tblGrid>
      <w:tr w:rsidR="008F2CF3" w:rsidRPr="000C0D6A" w14:paraId="30D48604" w14:textId="77777777" w:rsidTr="00A64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5" w:type="dxa"/>
            <w:gridSpan w:val="2"/>
          </w:tcPr>
          <w:p w14:paraId="37B4DECF" w14:textId="77777777" w:rsidR="008F2CF3" w:rsidRPr="00214C5D" w:rsidRDefault="008F2CF3" w:rsidP="00A6462E">
            <w:pPr>
              <w:pStyle w:val="PlainText"/>
              <w:spacing w:before="120" w:after="120"/>
              <w:jc w:val="center"/>
              <w:rPr>
                <w:rFonts w:ascii="Book Antiqua" w:hAnsi="Book Antiqua" w:cstheme="minorHAnsi"/>
                <w:szCs w:val="22"/>
              </w:rPr>
            </w:pPr>
            <w:r w:rsidRPr="00214C5D">
              <w:rPr>
                <w:rFonts w:ascii="Book Antiqua" w:hAnsi="Book Antiqua"/>
              </w:rPr>
              <w:t>Rethinking Competency to Stand Trial: The Strategies</w:t>
            </w:r>
          </w:p>
        </w:tc>
      </w:tr>
      <w:tr w:rsidR="008F2CF3" w:rsidRPr="000C0D6A" w14:paraId="047700B5" w14:textId="77777777" w:rsidTr="00A6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4260C16" w14:textId="77777777" w:rsidR="008F2CF3" w:rsidRPr="000C0D6A" w:rsidRDefault="008F2CF3" w:rsidP="00A6462E">
            <w:pPr>
              <w:pStyle w:val="PlainText"/>
              <w:spacing w:before="120" w:after="120"/>
              <w:rPr>
                <w:rFonts w:ascii="Book Antiqua" w:hAnsi="Book Antiqua" w:cstheme="minorHAnsi"/>
                <w:szCs w:val="22"/>
              </w:rPr>
            </w:pPr>
            <w:r>
              <w:rPr>
                <w:rFonts w:ascii="Book Antiqua" w:hAnsi="Book Antiqua" w:cstheme="minorHAnsi"/>
                <w:szCs w:val="22"/>
              </w:rPr>
              <w:t>Strategy 1</w:t>
            </w:r>
          </w:p>
        </w:tc>
        <w:tc>
          <w:tcPr>
            <w:tcW w:w="7200" w:type="dxa"/>
          </w:tcPr>
          <w:p w14:paraId="22AA9085" w14:textId="77777777" w:rsidR="008F2CF3" w:rsidRPr="000C0D6A" w:rsidRDefault="008F2CF3" w:rsidP="00A6462E">
            <w:pPr>
              <w:pStyle w:val="PlainTex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szCs w:val="22"/>
              </w:rPr>
            </w:pPr>
            <w:r w:rsidRPr="00C24B8E">
              <w:rPr>
                <w:rFonts w:ascii="Book Antiqua" w:hAnsi="Book Antiqua" w:cs="Arial"/>
              </w:rPr>
              <w:t>Convene diverse stakeholders to develop a shared understanding of the</w:t>
            </w:r>
            <w:r>
              <w:rPr>
                <w:rFonts w:ascii="Book Antiqua" w:hAnsi="Book Antiqua" w:cs="Arial"/>
              </w:rPr>
              <w:t xml:space="preserve"> </w:t>
            </w:r>
            <w:r w:rsidRPr="00C24B8E">
              <w:rPr>
                <w:rFonts w:ascii="Book Antiqua" w:hAnsi="Book Antiqua" w:cs="Arial"/>
              </w:rPr>
              <w:t xml:space="preserve">current Competency to Stand Trial (CST) process.    </w:t>
            </w:r>
          </w:p>
        </w:tc>
      </w:tr>
      <w:tr w:rsidR="008F2CF3" w:rsidRPr="000C0D6A" w14:paraId="3809E4EB" w14:textId="77777777" w:rsidTr="00A64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462D0AE" w14:textId="77777777" w:rsidR="008F2CF3" w:rsidRPr="001A6352" w:rsidRDefault="008F2CF3" w:rsidP="00A6462E">
            <w:pPr>
              <w:pStyle w:val="PlainText"/>
              <w:rPr>
                <w:rFonts w:ascii="Book Antiqua" w:eastAsia="Book Antiqua" w:hAnsi="Book Antiqua" w:cs="Book Antiqua"/>
                <w:color w:val="323232"/>
                <w:szCs w:val="22"/>
              </w:rPr>
            </w:pPr>
            <w:r w:rsidRPr="001A6352">
              <w:rPr>
                <w:rFonts w:ascii="Book Antiqua" w:eastAsia="Book Antiqua" w:hAnsi="Book Antiqua" w:cs="Book Antiqua"/>
                <w:color w:val="323232"/>
                <w:szCs w:val="22"/>
              </w:rPr>
              <w:t>Strategy 2</w:t>
            </w:r>
          </w:p>
        </w:tc>
        <w:tc>
          <w:tcPr>
            <w:tcW w:w="7200" w:type="dxa"/>
          </w:tcPr>
          <w:p w14:paraId="3DEC9481" w14:textId="77777777" w:rsidR="008F2CF3" w:rsidRPr="00C0043E" w:rsidRDefault="008F2CF3" w:rsidP="00A646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 w:cs="Book Antiqua"/>
                <w:color w:val="323232"/>
              </w:rPr>
            </w:pPr>
            <w:r w:rsidRPr="00C24B8E">
              <w:rPr>
                <w:rFonts w:ascii="Book Antiqua" w:hAnsi="Book Antiqua" w:cs="Arial"/>
              </w:rPr>
              <w:t xml:space="preserve">Examine system data and information to pinpoint areas for improvement. </w:t>
            </w:r>
          </w:p>
        </w:tc>
      </w:tr>
      <w:tr w:rsidR="008F2CF3" w:rsidRPr="000C0D6A" w14:paraId="4F7DF3E2" w14:textId="77777777" w:rsidTr="00A6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E9FCCDB" w14:textId="77777777" w:rsidR="008F2CF3" w:rsidRPr="001A6352" w:rsidRDefault="008F2CF3" w:rsidP="00A6462E">
            <w:pPr>
              <w:pStyle w:val="PlainText"/>
              <w:rPr>
                <w:rFonts w:ascii="Book Antiqua" w:eastAsia="Book Antiqua" w:hAnsi="Book Antiqua" w:cs="Book Antiqua"/>
                <w:color w:val="323232"/>
                <w:szCs w:val="22"/>
              </w:rPr>
            </w:pPr>
            <w:r>
              <w:rPr>
                <w:rFonts w:ascii="Book Antiqua" w:eastAsia="Book Antiqua" w:hAnsi="Book Antiqua" w:cs="Book Antiqua"/>
                <w:color w:val="323232"/>
                <w:szCs w:val="22"/>
              </w:rPr>
              <w:t>Strategy 3</w:t>
            </w:r>
          </w:p>
        </w:tc>
        <w:tc>
          <w:tcPr>
            <w:tcW w:w="7200" w:type="dxa"/>
          </w:tcPr>
          <w:p w14:paraId="0382E453" w14:textId="77777777" w:rsidR="008F2CF3" w:rsidRPr="00C24B8E" w:rsidRDefault="008F2CF3" w:rsidP="00A646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</w:rPr>
            </w:pPr>
            <w:r w:rsidRPr="3539A94E">
              <w:rPr>
                <w:rFonts w:ascii="Book Antiqua" w:hAnsi="Book Antiqua" w:cs="Arial"/>
              </w:rPr>
              <w:t xml:space="preserve">Provide training for professionals working at the intersection of criminal justice and behavioral health.    </w:t>
            </w:r>
          </w:p>
        </w:tc>
      </w:tr>
      <w:tr w:rsidR="008F2CF3" w:rsidRPr="000C0D6A" w14:paraId="4DE42F9B" w14:textId="77777777" w:rsidTr="00A64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E01F3A1" w14:textId="77777777" w:rsidR="008F2CF3" w:rsidRPr="001A6352" w:rsidRDefault="008F2CF3" w:rsidP="00A6462E">
            <w:pPr>
              <w:pStyle w:val="PlainText"/>
              <w:rPr>
                <w:rFonts w:ascii="Book Antiqua" w:eastAsia="Book Antiqua" w:hAnsi="Book Antiqua" w:cs="Book Antiqua"/>
                <w:color w:val="323232"/>
                <w:szCs w:val="22"/>
              </w:rPr>
            </w:pPr>
            <w:r>
              <w:rPr>
                <w:rFonts w:ascii="Book Antiqua" w:eastAsia="Book Antiqua" w:hAnsi="Book Antiqua" w:cs="Book Antiqua"/>
                <w:color w:val="323232"/>
                <w:szCs w:val="22"/>
              </w:rPr>
              <w:t>Strategy 4</w:t>
            </w:r>
          </w:p>
        </w:tc>
        <w:tc>
          <w:tcPr>
            <w:tcW w:w="7200" w:type="dxa"/>
          </w:tcPr>
          <w:p w14:paraId="1BEC28C1" w14:textId="77777777" w:rsidR="008F2CF3" w:rsidRPr="00C24B8E" w:rsidRDefault="008F2CF3" w:rsidP="00A646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</w:rPr>
            </w:pPr>
            <w:r w:rsidRPr="3539A94E">
              <w:rPr>
                <w:rFonts w:ascii="Book Antiqua" w:hAnsi="Book Antiqua" w:cs="Arial"/>
              </w:rPr>
              <w:t xml:space="preserve">Create and fund a robust system of community-based care and supports that is accessible for all before, during, and after criminal justice contact. </w:t>
            </w:r>
          </w:p>
        </w:tc>
      </w:tr>
      <w:tr w:rsidR="008F2CF3" w:rsidRPr="000C0D6A" w14:paraId="30EA7F3F" w14:textId="77777777" w:rsidTr="00A6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6032FB0" w14:textId="77777777" w:rsidR="008F2CF3" w:rsidRPr="001A6352" w:rsidRDefault="008F2CF3" w:rsidP="00A6462E">
            <w:pPr>
              <w:pStyle w:val="PlainText"/>
              <w:rPr>
                <w:rFonts w:ascii="Book Antiqua" w:eastAsia="Book Antiqua" w:hAnsi="Book Antiqua" w:cs="Book Antiqua"/>
                <w:color w:val="323232"/>
                <w:szCs w:val="22"/>
              </w:rPr>
            </w:pPr>
            <w:r>
              <w:rPr>
                <w:rFonts w:ascii="Book Antiqua" w:eastAsia="Book Antiqua" w:hAnsi="Book Antiqua" w:cs="Book Antiqua"/>
                <w:color w:val="323232"/>
                <w:szCs w:val="22"/>
              </w:rPr>
              <w:t>Strategy 5</w:t>
            </w:r>
          </w:p>
        </w:tc>
        <w:tc>
          <w:tcPr>
            <w:tcW w:w="7200" w:type="dxa"/>
          </w:tcPr>
          <w:p w14:paraId="03495FBD" w14:textId="77777777" w:rsidR="008F2CF3" w:rsidRPr="00C24B8E" w:rsidRDefault="008F2CF3" w:rsidP="00A646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</w:rPr>
            </w:pPr>
            <w:r w:rsidRPr="3539A94E">
              <w:rPr>
                <w:rFonts w:ascii="Book Antiqua" w:hAnsi="Book Antiqua" w:cs="Arial"/>
              </w:rPr>
              <w:t xml:space="preserve">Expand opportunities for diversion to treatment at all points in the criminal justice system, including after competency has been raised.    </w:t>
            </w:r>
          </w:p>
        </w:tc>
      </w:tr>
      <w:tr w:rsidR="008F2CF3" w:rsidRPr="000C0D6A" w14:paraId="01D75ED2" w14:textId="77777777" w:rsidTr="00A64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F206676" w14:textId="77777777" w:rsidR="008F2CF3" w:rsidRPr="001A6352" w:rsidRDefault="008F2CF3" w:rsidP="00A6462E">
            <w:pPr>
              <w:pStyle w:val="PlainText"/>
              <w:rPr>
                <w:rFonts w:ascii="Book Antiqua" w:eastAsia="Book Antiqua" w:hAnsi="Book Antiqua" w:cs="Book Antiqua"/>
                <w:color w:val="323232"/>
                <w:szCs w:val="22"/>
              </w:rPr>
            </w:pPr>
            <w:r>
              <w:rPr>
                <w:rFonts w:ascii="Book Antiqua" w:eastAsia="Book Antiqua" w:hAnsi="Book Antiqua" w:cs="Book Antiqua"/>
                <w:color w:val="323232"/>
                <w:szCs w:val="22"/>
              </w:rPr>
              <w:t>Strategy 6</w:t>
            </w:r>
          </w:p>
        </w:tc>
        <w:tc>
          <w:tcPr>
            <w:tcW w:w="7200" w:type="dxa"/>
          </w:tcPr>
          <w:p w14:paraId="09078DCB" w14:textId="77777777" w:rsidR="008F2CF3" w:rsidRPr="00C24B8E" w:rsidRDefault="008F2CF3" w:rsidP="00A646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</w:rPr>
            </w:pPr>
            <w:r w:rsidRPr="00C24B8E">
              <w:rPr>
                <w:rFonts w:ascii="Book Antiqua" w:hAnsi="Book Antiqua" w:cs="Arial"/>
              </w:rPr>
              <w:t>Limit the use of the CST process to cases that are inappropriate for dismissal or diversion.</w:t>
            </w:r>
          </w:p>
        </w:tc>
      </w:tr>
      <w:tr w:rsidR="008F2CF3" w:rsidRPr="000C0D6A" w14:paraId="21852590" w14:textId="77777777" w:rsidTr="00A6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E5D4900" w14:textId="77777777" w:rsidR="008F2CF3" w:rsidRDefault="008F2CF3" w:rsidP="00A6462E">
            <w:pPr>
              <w:pStyle w:val="PlainText"/>
              <w:rPr>
                <w:rFonts w:ascii="Book Antiqua" w:eastAsia="Book Antiqua" w:hAnsi="Book Antiqua" w:cs="Book Antiqua"/>
                <w:color w:val="323232"/>
                <w:szCs w:val="22"/>
              </w:rPr>
            </w:pPr>
            <w:r>
              <w:rPr>
                <w:rFonts w:ascii="Book Antiqua" w:eastAsia="Book Antiqua" w:hAnsi="Book Antiqua" w:cs="Book Antiqua"/>
                <w:color w:val="323232"/>
                <w:szCs w:val="22"/>
              </w:rPr>
              <w:t>Strategy 7</w:t>
            </w:r>
          </w:p>
        </w:tc>
        <w:tc>
          <w:tcPr>
            <w:tcW w:w="7200" w:type="dxa"/>
          </w:tcPr>
          <w:p w14:paraId="1BC64D03" w14:textId="77777777" w:rsidR="008F2CF3" w:rsidRPr="00C24B8E" w:rsidRDefault="008F2CF3" w:rsidP="00A646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</w:rPr>
            </w:pPr>
            <w:r w:rsidRPr="00C24B8E">
              <w:rPr>
                <w:rFonts w:ascii="Book Antiqua" w:hAnsi="Book Antiqua" w:cs="Arial"/>
              </w:rPr>
              <w:t xml:space="preserve">Promote responsibility and accountability across systems.   </w:t>
            </w:r>
          </w:p>
        </w:tc>
      </w:tr>
      <w:tr w:rsidR="00822DB1" w:rsidRPr="000C0D6A" w14:paraId="2520930A" w14:textId="77777777" w:rsidTr="00A64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E5379B1" w14:textId="6139CA4E" w:rsidR="00822DB1" w:rsidRDefault="00822DB1" w:rsidP="00A6462E">
            <w:pPr>
              <w:pStyle w:val="PlainText"/>
              <w:rPr>
                <w:rFonts w:ascii="Book Antiqua" w:eastAsia="Book Antiqua" w:hAnsi="Book Antiqua" w:cs="Book Antiqua"/>
                <w:color w:val="323232"/>
                <w:szCs w:val="22"/>
              </w:rPr>
            </w:pPr>
          </w:p>
        </w:tc>
        <w:tc>
          <w:tcPr>
            <w:tcW w:w="7200" w:type="dxa"/>
          </w:tcPr>
          <w:p w14:paraId="23704555" w14:textId="77777777" w:rsidR="00822DB1" w:rsidRPr="00C24B8E" w:rsidRDefault="00822DB1" w:rsidP="00A646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</w:rPr>
            </w:pPr>
          </w:p>
        </w:tc>
      </w:tr>
      <w:tr w:rsidR="008F2CF3" w:rsidRPr="000C0D6A" w14:paraId="56CC31A7" w14:textId="77777777" w:rsidTr="00A6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BFEC501" w14:textId="77777777" w:rsidR="008F2CF3" w:rsidRDefault="008F2CF3" w:rsidP="00A6462E">
            <w:pPr>
              <w:pStyle w:val="PlainText"/>
              <w:rPr>
                <w:rFonts w:ascii="Book Antiqua" w:eastAsia="Book Antiqua" w:hAnsi="Book Antiqua" w:cs="Book Antiqua"/>
                <w:color w:val="323232"/>
                <w:szCs w:val="22"/>
              </w:rPr>
            </w:pPr>
            <w:r>
              <w:rPr>
                <w:rFonts w:ascii="Book Antiqua" w:eastAsia="Book Antiqua" w:hAnsi="Book Antiqua" w:cs="Book Antiqua"/>
                <w:color w:val="323232"/>
                <w:szCs w:val="22"/>
              </w:rPr>
              <w:t>Strategy 8</w:t>
            </w:r>
          </w:p>
        </w:tc>
        <w:tc>
          <w:tcPr>
            <w:tcW w:w="7200" w:type="dxa"/>
          </w:tcPr>
          <w:p w14:paraId="47D879F9" w14:textId="77777777" w:rsidR="008F2CF3" w:rsidRPr="00C24B8E" w:rsidRDefault="008F2CF3" w:rsidP="00A646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</w:rPr>
            </w:pPr>
            <w:r w:rsidRPr="00D02153">
              <w:rPr>
                <w:rFonts w:ascii="Book Antiqua" w:hAnsi="Book Antiqua" w:cs="Arial"/>
              </w:rPr>
              <w:t>Improve efficiency at each step of the CST process.</w:t>
            </w:r>
          </w:p>
        </w:tc>
      </w:tr>
      <w:tr w:rsidR="008F2CF3" w:rsidRPr="000C0D6A" w14:paraId="0449F9EB" w14:textId="77777777" w:rsidTr="00A64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299B898" w14:textId="77777777" w:rsidR="008F2CF3" w:rsidRDefault="008F2CF3" w:rsidP="00A6462E">
            <w:pPr>
              <w:pStyle w:val="PlainText"/>
              <w:rPr>
                <w:rFonts w:ascii="Book Antiqua" w:eastAsia="Book Antiqua" w:hAnsi="Book Antiqua" w:cs="Book Antiqua"/>
                <w:color w:val="323232"/>
                <w:szCs w:val="22"/>
              </w:rPr>
            </w:pPr>
            <w:r>
              <w:rPr>
                <w:rFonts w:ascii="Book Antiqua" w:eastAsia="Book Antiqua" w:hAnsi="Book Antiqua" w:cs="Book Antiqua"/>
                <w:color w:val="323232"/>
                <w:szCs w:val="22"/>
              </w:rPr>
              <w:t>Strategy 9</w:t>
            </w:r>
          </w:p>
        </w:tc>
        <w:tc>
          <w:tcPr>
            <w:tcW w:w="7200" w:type="dxa"/>
          </w:tcPr>
          <w:p w14:paraId="0E4B92C3" w14:textId="77777777" w:rsidR="008F2CF3" w:rsidRPr="00C24B8E" w:rsidRDefault="008F2CF3" w:rsidP="00A646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</w:rPr>
            </w:pPr>
            <w:r w:rsidRPr="00D02153">
              <w:rPr>
                <w:rFonts w:ascii="Book Antiqua" w:hAnsi="Book Antiqua" w:cs="Arial"/>
              </w:rPr>
              <w:t xml:space="preserve">Conduct evaluations and restoration in the community, when possible.   </w:t>
            </w:r>
          </w:p>
        </w:tc>
      </w:tr>
      <w:tr w:rsidR="008F2CF3" w:rsidRPr="000C0D6A" w14:paraId="23205CEB" w14:textId="77777777" w:rsidTr="00A6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5054CE4" w14:textId="77777777" w:rsidR="008F2CF3" w:rsidRDefault="008F2CF3" w:rsidP="00A6462E">
            <w:pPr>
              <w:pStyle w:val="PlainText"/>
              <w:rPr>
                <w:rFonts w:ascii="Book Antiqua" w:eastAsia="Book Antiqua" w:hAnsi="Book Antiqua" w:cs="Book Antiqua"/>
                <w:color w:val="323232"/>
                <w:szCs w:val="22"/>
              </w:rPr>
            </w:pPr>
            <w:r>
              <w:rPr>
                <w:rFonts w:ascii="Book Antiqua" w:eastAsia="Book Antiqua" w:hAnsi="Book Antiqua" w:cs="Book Antiqua"/>
                <w:color w:val="323232"/>
                <w:szCs w:val="22"/>
              </w:rPr>
              <w:t>Strategy 10</w:t>
            </w:r>
          </w:p>
        </w:tc>
        <w:tc>
          <w:tcPr>
            <w:tcW w:w="7200" w:type="dxa"/>
          </w:tcPr>
          <w:p w14:paraId="57639A39" w14:textId="77777777" w:rsidR="008F2CF3" w:rsidRPr="00C24B8E" w:rsidRDefault="008F2CF3" w:rsidP="00A6462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rial"/>
                <w:sz w:val="22"/>
                <w:szCs w:val="22"/>
              </w:rPr>
            </w:pPr>
            <w:r w:rsidRPr="3539A94E">
              <w:rPr>
                <w:rFonts w:ascii="Book Antiqua" w:hAnsi="Book Antiqua" w:cs="Arial"/>
                <w:sz w:val="22"/>
                <w:szCs w:val="22"/>
              </w:rPr>
              <w:t xml:space="preserve">Provide high-quality and equitable evaluations and restoration services, and ensure continuity of clinical care before, during, and after restoration and upon release.   </w:t>
            </w:r>
          </w:p>
        </w:tc>
      </w:tr>
    </w:tbl>
    <w:p w14:paraId="167097B6" w14:textId="0CFF2469" w:rsidR="00C00DB6" w:rsidRDefault="00822DB1">
      <w:r>
        <w:rPr>
          <w:rFonts w:ascii="Book Antiqua" w:hAnsi="Book Antiqua" w:cs="Arial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DF12F5F" wp14:editId="47B5C104">
            <wp:simplePos x="0" y="0"/>
            <wp:positionH relativeFrom="margin">
              <wp:posOffset>0</wp:posOffset>
            </wp:positionH>
            <wp:positionV relativeFrom="paragraph">
              <wp:posOffset>251460</wp:posOffset>
            </wp:positionV>
            <wp:extent cx="5797031" cy="2804160"/>
            <wp:effectExtent l="0" t="0" r="0" b="0"/>
            <wp:wrapSquare wrapText="bothSides"/>
            <wp:docPr id="19" name="Picture 19" descr="Timeline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imeline&#10;&#10;Description automatically generated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758" cy="2804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023CA" w14:textId="66C41FA7" w:rsidR="00822DB1" w:rsidRDefault="00822DB1"/>
    <w:p w14:paraId="408EAF88" w14:textId="5E6A867A" w:rsidR="00822DB1" w:rsidRDefault="00822DB1"/>
    <w:sectPr w:rsidR="00822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F3"/>
    <w:rsid w:val="00822DB1"/>
    <w:rsid w:val="008F2CF3"/>
    <w:rsid w:val="00C0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F1733"/>
  <w15:chartTrackingRefBased/>
  <w15:docId w15:val="{C4CDA170-6674-418B-B45E-1921613A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C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2CF3"/>
    <w:pPr>
      <w:autoSpaceDE w:val="0"/>
      <w:autoSpaceDN w:val="0"/>
      <w:adjustRightInd w:val="0"/>
      <w:spacing w:after="0" w:line="240" w:lineRule="auto"/>
    </w:pPr>
    <w:rPr>
      <w:rFonts w:ascii="Lucida Sans" w:eastAsiaTheme="minorEastAsia" w:hAnsi="Lucida Sans" w:cs="Lucida Sans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F2CF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2CF3"/>
    <w:rPr>
      <w:rFonts w:ascii="Calibri" w:hAnsi="Calibri"/>
      <w:szCs w:val="21"/>
    </w:rPr>
  </w:style>
  <w:style w:type="table" w:customStyle="1" w:styleId="GridTable4-Accent11">
    <w:name w:val="Grid Table 4 - Accent 11"/>
    <w:basedOn w:val="TableNormal"/>
    <w:uiPriority w:val="49"/>
    <w:rsid w:val="008F2CF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rainc.com/competency-restoration-thoughts-from-the-fie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1048</Characters>
  <Application>Microsoft Office Word</Application>
  <DocSecurity>0</DocSecurity>
  <Lines>18</Lines>
  <Paragraphs>4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Jacobson, Donald</dc:creator>
  <cp:keywords/>
  <dc:description/>
  <cp:lastModifiedBy>Jacobson, Donald</cp:lastModifiedBy>
  <cp:revision>2</cp:revision>
  <dcterms:created xsi:type="dcterms:W3CDTF">2022-04-15T17:16:00Z</dcterms:created>
  <dcterms:modified xsi:type="dcterms:W3CDTF">2022-04-15T17:17:00Z</dcterms:modified>
</cp:coreProperties>
</file>